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03992" w:rsidRPr="00803992" w14:paraId="1FF13EEA" w14:textId="77777777" w:rsidTr="00803992">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803992" w:rsidRPr="00803992" w14:paraId="41B662C5" w14:textId="77777777">
              <w:trPr>
                <w:jc w:val="center"/>
              </w:trPr>
              <w:tc>
                <w:tcPr>
                  <w:tcW w:w="5000" w:type="pct"/>
                  <w:shd w:val="clear" w:color="auto" w:fill="F6F6F6"/>
                  <w:tcMar>
                    <w:top w:w="30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03992" w:rsidRPr="00803992" w14:paraId="60125C0D"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03992" w:rsidRPr="00803992" w14:paraId="5FADFC8C" w14:textId="77777777" w:rsidTr="00803992">
                          <w:trPr>
                            <w:jc w:val="center"/>
                          </w:trPr>
                          <w:tc>
                            <w:tcPr>
                              <w:tcW w:w="5000" w:type="pct"/>
                              <w:tcBorders>
                                <w:top w:val="single" w:sz="36" w:space="0" w:color="20AA3F"/>
                                <w:left w:val="nil"/>
                                <w:bottom w:val="nil"/>
                                <w:right w:val="nil"/>
                              </w:tcBorders>
                              <w:shd w:val="clear" w:color="auto" w:fill="FFFFFF"/>
                              <w:tcMar>
                                <w:top w:w="150" w:type="dxa"/>
                                <w:left w:w="300" w:type="dxa"/>
                                <w:bottom w:w="150" w:type="dxa"/>
                                <w:right w:w="300" w:type="dxa"/>
                              </w:tcMar>
                              <w:vAlign w:val="center"/>
                              <w:hideMark/>
                            </w:tcPr>
                            <w:p w14:paraId="10D893E2" w14:textId="77777777" w:rsidR="00803992" w:rsidRPr="00803992" w:rsidRDefault="00803992" w:rsidP="00803992">
                              <w:pPr>
                                <w:spacing w:after="0" w:line="240" w:lineRule="auto"/>
                                <w:jc w:val="right"/>
                                <w:rPr>
                                  <w:rFonts w:ascii="Times New Roman" w:eastAsia="Times New Roman" w:hAnsi="Times New Roman" w:cs="Times New Roman"/>
                                  <w:kern w:val="0"/>
                                  <w:sz w:val="24"/>
                                  <w:szCs w:val="24"/>
                                  <w14:ligatures w14:val="none"/>
                                </w:rPr>
                              </w:pPr>
                              <w:r w:rsidRPr="00803992">
                                <w:rPr>
                                  <w:rFonts w:ascii="Times New Roman" w:eastAsia="Times New Roman" w:hAnsi="Times New Roman" w:cs="Times New Roman"/>
                                  <w:noProof/>
                                  <w:kern w:val="0"/>
                                  <w:sz w:val="24"/>
                                  <w:szCs w:val="24"/>
                                  <w14:ligatures w14:val="none"/>
                                </w:rPr>
                                <w:drawing>
                                  <wp:inline distT="0" distB="0" distL="0" distR="0" wp14:anchorId="46D7C498" wp14:editId="5E9DDD4C">
                                    <wp:extent cx="1734820" cy="363220"/>
                                    <wp:effectExtent l="0" t="0" r="0" b="0"/>
                                    <wp:docPr id="13" name="m_-8325017385916400722_x0000_i1037" descr="consumer financial protec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325017385916400722_x0000_i1037" descr="consumer financial protection bure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820" cy="363220"/>
                                            </a:xfrm>
                                            <a:prstGeom prst="rect">
                                              <a:avLst/>
                                            </a:prstGeom>
                                            <a:noFill/>
                                            <a:ln>
                                              <a:noFill/>
                                            </a:ln>
                                          </pic:spPr>
                                        </pic:pic>
                                      </a:graphicData>
                                    </a:graphic>
                                  </wp:inline>
                                </w:drawing>
                              </w:r>
                            </w:p>
                          </w:tc>
                        </w:tr>
                        <w:tr w:rsidR="00803992" w:rsidRPr="00803992" w14:paraId="2DBD72A1" w14:textId="77777777" w:rsidTr="00803992">
                          <w:trPr>
                            <w:jc w:val="center"/>
                          </w:trPr>
                          <w:tc>
                            <w:tcPr>
                              <w:tcW w:w="5000" w:type="pct"/>
                              <w:shd w:val="clear" w:color="auto" w:fill="FFFFFF"/>
                              <w:tcMar>
                                <w:top w:w="0" w:type="dxa"/>
                                <w:left w:w="300" w:type="dxa"/>
                                <w:bottom w:w="300" w:type="dxa"/>
                                <w:right w:w="300" w:type="dxa"/>
                              </w:tcMar>
                              <w:vAlign w:val="center"/>
                              <w:hideMark/>
                            </w:tcPr>
                            <w:p w14:paraId="30BE7096" w14:textId="77777777" w:rsidR="00803992" w:rsidRPr="00803992" w:rsidRDefault="00803992" w:rsidP="00803992">
                              <w:pPr>
                                <w:spacing w:after="300" w:line="240" w:lineRule="auto"/>
                                <w:rPr>
                                  <w:rFonts w:ascii="Times New Roman" w:eastAsia="Times New Roman" w:hAnsi="Times New Roman" w:cs="Times New Roman"/>
                                  <w:kern w:val="0"/>
                                  <w:sz w:val="24"/>
                                  <w:szCs w:val="24"/>
                                  <w14:ligatures w14:val="none"/>
                                </w:rPr>
                              </w:pPr>
                              <w:r w:rsidRPr="00803992">
                                <w:rPr>
                                  <w:rFonts w:ascii="Arial" w:eastAsia="Times New Roman" w:hAnsi="Arial" w:cs="Arial"/>
                                  <w:b/>
                                  <w:bCs/>
                                  <w:color w:val="101820"/>
                                  <w:kern w:val="0"/>
                                  <w:sz w:val="24"/>
                                  <w:szCs w:val="24"/>
                                  <w14:ligatures w14:val="none"/>
                                </w:rPr>
                                <w:t xml:space="preserve">Credit reporting companies should do more to ensure that servicemembers receive the free credit monitoring services they are legally entitled </w:t>
                              </w:r>
                              <w:proofErr w:type="gramStart"/>
                              <w:r w:rsidRPr="00803992">
                                <w:rPr>
                                  <w:rFonts w:ascii="Arial" w:eastAsia="Times New Roman" w:hAnsi="Arial" w:cs="Arial"/>
                                  <w:b/>
                                  <w:bCs/>
                                  <w:color w:val="101820"/>
                                  <w:kern w:val="0"/>
                                  <w:sz w:val="24"/>
                                  <w:szCs w:val="24"/>
                                  <w14:ligatures w14:val="none"/>
                                </w:rPr>
                                <w:t>to</w:t>
                              </w:r>
                              <w:proofErr w:type="gramEnd"/>
                            </w:p>
                            <w:p w14:paraId="14F1E949" w14:textId="77777777" w:rsidR="00803992" w:rsidRPr="00803992" w:rsidRDefault="00803992" w:rsidP="00803992">
                              <w:pPr>
                                <w:spacing w:after="300" w:line="240" w:lineRule="auto"/>
                                <w:rPr>
                                  <w:rFonts w:ascii="Times New Roman" w:eastAsia="Times New Roman" w:hAnsi="Times New Roman" w:cs="Times New Roman"/>
                                  <w:kern w:val="0"/>
                                  <w:sz w:val="24"/>
                                  <w:szCs w:val="24"/>
                                  <w14:ligatures w14:val="none"/>
                                </w:rPr>
                              </w:pPr>
                              <w:r w:rsidRPr="00803992">
                                <w:rPr>
                                  <w:rFonts w:ascii="Arial" w:eastAsia="Times New Roman" w:hAnsi="Arial" w:cs="Arial"/>
                                  <w:color w:val="101820"/>
                                  <w:kern w:val="0"/>
                                  <w:sz w:val="24"/>
                                  <w:szCs w:val="24"/>
                                  <w14:ligatures w14:val="none"/>
                                </w:rPr>
                                <w:t>Complaints to the Consumer Financial Protection Bureau (CFPB) suggest that credit reporting companies may be enrolling servicemembers in paid credit monitoring products without providing servicemembers with clear or sufficient information about the free credit monitoring services they are eligible for. Highlights from a </w:t>
                              </w:r>
                              <w:hyperlink r:id="rId6" w:tgtFrame="_blank" w:history="1">
                                <w:r w:rsidRPr="00803992">
                                  <w:rPr>
                                    <w:rFonts w:ascii="Arial" w:eastAsia="Times New Roman" w:hAnsi="Arial" w:cs="Arial"/>
                                    <w:color w:val="0071CD"/>
                                    <w:kern w:val="0"/>
                                    <w:sz w:val="24"/>
                                    <w:szCs w:val="24"/>
                                    <w:u w:val="single"/>
                                    <w14:ligatures w14:val="none"/>
                                  </w:rPr>
                                  <w:t>new blog</w:t>
                                </w:r>
                              </w:hyperlink>
                              <w:r w:rsidRPr="00803992">
                                <w:rPr>
                                  <w:rFonts w:ascii="Arial" w:eastAsia="Times New Roman" w:hAnsi="Arial" w:cs="Arial"/>
                                  <w:color w:val="101820"/>
                                  <w:kern w:val="0"/>
                                  <w:sz w:val="24"/>
                                  <w:szCs w:val="24"/>
                                  <w14:ligatures w14:val="none"/>
                                </w:rPr>
                                <w:t> from the CFPB examining the issue include:</w:t>
                              </w:r>
                            </w:p>
                            <w:p w14:paraId="1F8F513D" w14:textId="77777777" w:rsidR="00803992" w:rsidRPr="00803992" w:rsidRDefault="00803992" w:rsidP="00803992">
                              <w:pPr>
                                <w:numPr>
                                  <w:ilvl w:val="0"/>
                                  <w:numId w:val="1"/>
                                </w:numPr>
                                <w:spacing w:after="105" w:line="240" w:lineRule="auto"/>
                                <w:ind w:left="945"/>
                                <w:rPr>
                                  <w:rFonts w:ascii="Times New Roman" w:eastAsia="Times New Roman" w:hAnsi="Times New Roman" w:cs="Times New Roman"/>
                                  <w:color w:val="101820"/>
                                  <w:kern w:val="0"/>
                                  <w:sz w:val="24"/>
                                  <w:szCs w:val="24"/>
                                  <w14:ligatures w14:val="none"/>
                                </w:rPr>
                              </w:pPr>
                              <w:r w:rsidRPr="00803992">
                                <w:rPr>
                                  <w:rFonts w:ascii="Arial" w:eastAsia="Times New Roman" w:hAnsi="Arial" w:cs="Arial"/>
                                  <w:color w:val="101820"/>
                                  <w:kern w:val="0"/>
                                  <w:sz w:val="24"/>
                                  <w:szCs w:val="24"/>
                                  <w14:ligatures w14:val="none"/>
                                </w:rPr>
                                <w:t xml:space="preserve">An overview of the 2018 law that requires nationwide credit reporting companies to provide a free electronic credit monitoring service to active-duty military consumers and members of the national </w:t>
                              </w:r>
                              <w:proofErr w:type="gramStart"/>
                              <w:r w:rsidRPr="00803992">
                                <w:rPr>
                                  <w:rFonts w:ascii="Arial" w:eastAsia="Times New Roman" w:hAnsi="Arial" w:cs="Arial"/>
                                  <w:color w:val="101820"/>
                                  <w:kern w:val="0"/>
                                  <w:sz w:val="24"/>
                                  <w:szCs w:val="24"/>
                                  <w14:ligatures w14:val="none"/>
                                </w:rPr>
                                <w:t>guard</w:t>
                              </w:r>
                              <w:proofErr w:type="gramEnd"/>
                            </w:p>
                            <w:p w14:paraId="582C6215" w14:textId="77777777" w:rsidR="00803992" w:rsidRPr="00803992" w:rsidRDefault="00803992" w:rsidP="00803992">
                              <w:pPr>
                                <w:numPr>
                                  <w:ilvl w:val="0"/>
                                  <w:numId w:val="1"/>
                                </w:numPr>
                                <w:spacing w:after="105" w:line="240" w:lineRule="auto"/>
                                <w:ind w:left="945"/>
                                <w:rPr>
                                  <w:rFonts w:ascii="Times New Roman" w:eastAsia="Times New Roman" w:hAnsi="Times New Roman" w:cs="Times New Roman"/>
                                  <w:color w:val="101820"/>
                                  <w:kern w:val="0"/>
                                  <w:sz w:val="24"/>
                                  <w:szCs w:val="24"/>
                                  <w14:ligatures w14:val="none"/>
                                </w:rPr>
                              </w:pPr>
                              <w:r w:rsidRPr="00803992">
                                <w:rPr>
                                  <w:rFonts w:ascii="Arial" w:eastAsia="Times New Roman" w:hAnsi="Arial" w:cs="Arial"/>
                                  <w:color w:val="101820"/>
                                  <w:kern w:val="0"/>
                                  <w:sz w:val="24"/>
                                  <w:szCs w:val="24"/>
                                  <w14:ligatures w14:val="none"/>
                                </w:rPr>
                                <w:t xml:space="preserve">A look at recent complaints that show how credit reporting companies are charging servicemembers for credit monitoring services when they’re entitled to free </w:t>
                              </w:r>
                              <w:proofErr w:type="gramStart"/>
                              <w:r w:rsidRPr="00803992">
                                <w:rPr>
                                  <w:rFonts w:ascii="Arial" w:eastAsia="Times New Roman" w:hAnsi="Arial" w:cs="Arial"/>
                                  <w:color w:val="101820"/>
                                  <w:kern w:val="0"/>
                                  <w:sz w:val="24"/>
                                  <w:szCs w:val="24"/>
                                  <w14:ligatures w14:val="none"/>
                                </w:rPr>
                                <w:t>services</w:t>
                              </w:r>
                              <w:proofErr w:type="gramEnd"/>
                            </w:p>
                            <w:p w14:paraId="39BBA010" w14:textId="77777777" w:rsidR="00803992" w:rsidRPr="00803992" w:rsidRDefault="00803992" w:rsidP="00803992">
                              <w:pPr>
                                <w:numPr>
                                  <w:ilvl w:val="0"/>
                                  <w:numId w:val="1"/>
                                </w:numPr>
                                <w:spacing w:after="105" w:line="240" w:lineRule="auto"/>
                                <w:ind w:left="945"/>
                                <w:rPr>
                                  <w:rFonts w:ascii="Times New Roman" w:eastAsia="Times New Roman" w:hAnsi="Times New Roman" w:cs="Times New Roman"/>
                                  <w:color w:val="101820"/>
                                  <w:kern w:val="0"/>
                                  <w:sz w:val="24"/>
                                  <w:szCs w:val="24"/>
                                  <w14:ligatures w14:val="none"/>
                                </w:rPr>
                              </w:pPr>
                              <w:r w:rsidRPr="00803992">
                                <w:rPr>
                                  <w:rFonts w:ascii="Arial" w:eastAsia="Times New Roman" w:hAnsi="Arial" w:cs="Arial"/>
                                  <w:color w:val="101820"/>
                                  <w:kern w:val="0"/>
                                  <w:sz w:val="24"/>
                                  <w:szCs w:val="24"/>
                                  <w14:ligatures w14:val="none"/>
                                </w:rPr>
                                <w:t xml:space="preserve">Steps that credit reporting companies can take to identify servicemembers better and tell them about the free products that are available to </w:t>
                              </w:r>
                              <w:proofErr w:type="gramStart"/>
                              <w:r w:rsidRPr="00803992">
                                <w:rPr>
                                  <w:rFonts w:ascii="Arial" w:eastAsia="Times New Roman" w:hAnsi="Arial" w:cs="Arial"/>
                                  <w:color w:val="101820"/>
                                  <w:kern w:val="0"/>
                                  <w:sz w:val="24"/>
                                  <w:szCs w:val="24"/>
                                  <w14:ligatures w14:val="none"/>
                                </w:rPr>
                                <w:t>them</w:t>
                              </w:r>
                              <w:proofErr w:type="gramEnd"/>
                            </w:p>
                            <w:p w14:paraId="6DF856E2" w14:textId="77777777" w:rsidR="00803992" w:rsidRPr="00803992" w:rsidRDefault="00803992" w:rsidP="00803992">
                              <w:pPr>
                                <w:numPr>
                                  <w:ilvl w:val="0"/>
                                  <w:numId w:val="1"/>
                                </w:numPr>
                                <w:spacing w:after="105" w:line="240" w:lineRule="auto"/>
                                <w:ind w:left="945"/>
                                <w:rPr>
                                  <w:rFonts w:ascii="Times New Roman" w:eastAsia="Times New Roman" w:hAnsi="Times New Roman" w:cs="Times New Roman"/>
                                  <w:color w:val="101820"/>
                                  <w:kern w:val="0"/>
                                  <w:sz w:val="24"/>
                                  <w:szCs w:val="24"/>
                                  <w14:ligatures w14:val="none"/>
                                </w:rPr>
                              </w:pPr>
                              <w:r w:rsidRPr="00803992">
                                <w:rPr>
                                  <w:rFonts w:ascii="Arial" w:eastAsia="Times New Roman" w:hAnsi="Arial" w:cs="Arial"/>
                                  <w:color w:val="101820"/>
                                  <w:kern w:val="0"/>
                                  <w:sz w:val="24"/>
                                  <w:szCs w:val="24"/>
                                  <w14:ligatures w14:val="none"/>
                                </w:rPr>
                                <w:t xml:space="preserve">Tips for servicemembers on accessing free electronic credit monitoring, protecting their credit, and filing a complaint with the </w:t>
                              </w:r>
                              <w:proofErr w:type="gramStart"/>
                              <w:r w:rsidRPr="00803992">
                                <w:rPr>
                                  <w:rFonts w:ascii="Arial" w:eastAsia="Times New Roman" w:hAnsi="Arial" w:cs="Arial"/>
                                  <w:color w:val="101820"/>
                                  <w:kern w:val="0"/>
                                  <w:sz w:val="24"/>
                                  <w:szCs w:val="24"/>
                                  <w14:ligatures w14:val="none"/>
                                </w:rPr>
                                <w:t>CFPB</w:t>
                              </w:r>
                              <w:proofErr w:type="gramEnd"/>
                            </w:p>
                            <w:p w14:paraId="6B2A0A78" w14:textId="77777777" w:rsidR="00803992" w:rsidRPr="00803992" w:rsidRDefault="00803992" w:rsidP="00803992">
                              <w:pPr>
                                <w:spacing w:after="300" w:line="240" w:lineRule="auto"/>
                                <w:rPr>
                                  <w:rFonts w:ascii="Times New Roman" w:eastAsia="Times New Roman" w:hAnsi="Times New Roman" w:cs="Times New Roman"/>
                                  <w:kern w:val="0"/>
                                  <w:sz w:val="24"/>
                                  <w:szCs w:val="24"/>
                                  <w14:ligatures w14:val="none"/>
                                </w:rPr>
                              </w:pPr>
                              <w:hyperlink r:id="rId7" w:tgtFrame="_blank" w:history="1">
                                <w:r w:rsidRPr="00803992">
                                  <w:rPr>
                                    <w:rFonts w:ascii="Arial" w:eastAsia="Times New Roman" w:hAnsi="Arial" w:cs="Arial"/>
                                    <w:color w:val="0071CD"/>
                                    <w:kern w:val="0"/>
                                    <w:sz w:val="24"/>
                                    <w:szCs w:val="24"/>
                                    <w:u w:val="single"/>
                                    <w14:ligatures w14:val="none"/>
                                  </w:rPr>
                                  <w:t>Read the blog</w:t>
                                </w:r>
                              </w:hyperlink>
                              <w:r w:rsidRPr="00803992">
                                <w:rPr>
                                  <w:rFonts w:ascii="Arial" w:eastAsia="Times New Roman" w:hAnsi="Arial" w:cs="Arial"/>
                                  <w:color w:val="101820"/>
                                  <w:kern w:val="0"/>
                                  <w:sz w:val="24"/>
                                  <w:szCs w:val="24"/>
                                  <w14:ligatures w14:val="none"/>
                                </w:rPr>
                                <w:t> to learn more about the steps that credit reporting companies can take to ensure that servicemembers receive the free credit monitoring services they are legally entitled to.</w:t>
                              </w:r>
                            </w:p>
                            <w:p w14:paraId="46E08CDD" w14:textId="77777777" w:rsidR="00803992" w:rsidRPr="00803992" w:rsidRDefault="00803992" w:rsidP="00803992">
                              <w:pPr>
                                <w:spacing w:after="300" w:line="240" w:lineRule="auto"/>
                                <w:rPr>
                                  <w:rFonts w:ascii="Times New Roman" w:eastAsia="Times New Roman" w:hAnsi="Times New Roman" w:cs="Times New Roman"/>
                                  <w:kern w:val="0"/>
                                  <w:sz w:val="24"/>
                                  <w:szCs w:val="24"/>
                                  <w14:ligatures w14:val="none"/>
                                </w:rPr>
                              </w:pPr>
                              <w:r w:rsidRPr="00803992">
                                <w:rPr>
                                  <w:rFonts w:ascii="Arial" w:eastAsia="Times New Roman" w:hAnsi="Arial" w:cs="Arial"/>
                                  <w:color w:val="101820"/>
                                  <w:kern w:val="0"/>
                                  <w:sz w:val="24"/>
                                  <w:szCs w:val="24"/>
                                  <w14:ligatures w14:val="none"/>
                                </w:rPr>
                                <w:t>Thank you,</w:t>
                              </w:r>
                            </w:p>
                            <w:p w14:paraId="2F88CA16" w14:textId="77777777" w:rsidR="00803992" w:rsidRPr="00803992" w:rsidRDefault="00803992" w:rsidP="00803992">
                              <w:pPr>
                                <w:spacing w:after="300" w:line="240" w:lineRule="auto"/>
                                <w:rPr>
                                  <w:rFonts w:ascii="Times New Roman" w:eastAsia="Times New Roman" w:hAnsi="Times New Roman" w:cs="Times New Roman"/>
                                  <w:kern w:val="0"/>
                                  <w:sz w:val="24"/>
                                  <w:szCs w:val="24"/>
                                  <w14:ligatures w14:val="none"/>
                                </w:rPr>
                              </w:pPr>
                              <w:r w:rsidRPr="00803992">
                                <w:rPr>
                                  <w:rFonts w:ascii="Arial" w:eastAsia="Times New Roman" w:hAnsi="Arial" w:cs="Arial"/>
                                  <w:color w:val="101820"/>
                                  <w:kern w:val="0"/>
                                  <w:sz w:val="24"/>
                                  <w:szCs w:val="24"/>
                                  <w14:ligatures w14:val="none"/>
                                </w:rPr>
                                <w:t>Consumer Financial Protection Bureau </w:t>
                              </w:r>
                            </w:p>
                          </w:tc>
                        </w:tr>
                        <w:tr w:rsidR="00803992" w:rsidRPr="00803992" w14:paraId="727FABD5" w14:textId="77777777" w:rsidTr="00803992">
                          <w:trPr>
                            <w:jc w:val="center"/>
                          </w:trPr>
                          <w:tc>
                            <w:tcPr>
                              <w:tcW w:w="0" w:type="auto"/>
                              <w:tcMar>
                                <w:top w:w="0" w:type="dxa"/>
                                <w:left w:w="150" w:type="dxa"/>
                                <w:bottom w:w="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5655"/>
                                <w:gridCol w:w="3045"/>
                              </w:tblGrid>
                              <w:tr w:rsidR="00803992" w:rsidRPr="00803992" w14:paraId="7BA14F58" w14:textId="77777777">
                                <w:trPr>
                                  <w:jc w:val="center"/>
                                </w:trPr>
                                <w:tc>
                                  <w:tcPr>
                                    <w:tcW w:w="3250" w:type="pct"/>
                                    <w:hideMark/>
                                  </w:tcPr>
                                  <w:tbl>
                                    <w:tblPr>
                                      <w:tblW w:w="5000" w:type="pct"/>
                                      <w:jc w:val="center"/>
                                      <w:tblCellMar>
                                        <w:left w:w="0" w:type="dxa"/>
                                        <w:right w:w="0" w:type="dxa"/>
                                      </w:tblCellMar>
                                      <w:tblLook w:val="04A0" w:firstRow="1" w:lastRow="0" w:firstColumn="1" w:lastColumn="0" w:noHBand="0" w:noVBand="1"/>
                                    </w:tblPr>
                                    <w:tblGrid>
                                      <w:gridCol w:w="5655"/>
                                    </w:tblGrid>
                                    <w:tr w:rsidR="00803992" w:rsidRPr="00803992" w14:paraId="4600650E" w14:textId="77777777">
                                      <w:trPr>
                                        <w:jc w:val="center"/>
                                      </w:trPr>
                                      <w:tc>
                                        <w:tcPr>
                                          <w:tcW w:w="5000" w:type="pct"/>
                                          <w:tcMar>
                                            <w:top w:w="0" w:type="dxa"/>
                                            <w:left w:w="150" w:type="dxa"/>
                                            <w:bottom w:w="0" w:type="dxa"/>
                                            <w:right w:w="150" w:type="dxa"/>
                                          </w:tcMar>
                                          <w:vAlign w:val="center"/>
                                          <w:hideMark/>
                                        </w:tcPr>
                                        <w:p w14:paraId="57E34CA6" w14:textId="77777777" w:rsidR="00803992" w:rsidRPr="00803992" w:rsidRDefault="00803992" w:rsidP="00803992">
                                          <w:pPr>
                                            <w:spacing w:after="0" w:line="240" w:lineRule="auto"/>
                                            <w:rPr>
                                              <w:rFonts w:ascii="Times New Roman" w:eastAsia="Times New Roman" w:hAnsi="Times New Roman" w:cs="Times New Roman"/>
                                              <w:kern w:val="0"/>
                                              <w:sz w:val="24"/>
                                              <w:szCs w:val="24"/>
                                              <w14:ligatures w14:val="none"/>
                                            </w:rPr>
                                          </w:pPr>
                                        </w:p>
                                      </w:tc>
                                    </w:tr>
                                  </w:tbl>
                                  <w:p w14:paraId="1831A161" w14:textId="77777777" w:rsidR="00803992" w:rsidRPr="00803992" w:rsidRDefault="00803992" w:rsidP="00803992">
                                    <w:pPr>
                                      <w:spacing w:after="0" w:line="240" w:lineRule="auto"/>
                                      <w:jc w:val="center"/>
                                      <w:rPr>
                                        <w:rFonts w:ascii="Times New Roman" w:eastAsia="Times New Roman" w:hAnsi="Times New Roman" w:cs="Times New Roman"/>
                                        <w:kern w:val="0"/>
                                        <w:sz w:val="24"/>
                                        <w:szCs w:val="24"/>
                                        <w14:ligatures w14:val="none"/>
                                      </w:rPr>
                                    </w:pPr>
                                  </w:p>
                                </w:tc>
                                <w:tc>
                                  <w:tcPr>
                                    <w:tcW w:w="1750" w:type="pct"/>
                                    <w:hideMark/>
                                  </w:tcPr>
                                  <w:tbl>
                                    <w:tblPr>
                                      <w:tblW w:w="5000" w:type="pct"/>
                                      <w:jc w:val="center"/>
                                      <w:tblCellMar>
                                        <w:left w:w="0" w:type="dxa"/>
                                        <w:right w:w="0" w:type="dxa"/>
                                      </w:tblCellMar>
                                      <w:tblLook w:val="04A0" w:firstRow="1" w:lastRow="0" w:firstColumn="1" w:lastColumn="0" w:noHBand="0" w:noVBand="1"/>
                                    </w:tblPr>
                                    <w:tblGrid>
                                      <w:gridCol w:w="3045"/>
                                    </w:tblGrid>
                                    <w:tr w:rsidR="00803992" w:rsidRPr="00803992" w14:paraId="444D2AAC" w14:textId="77777777" w:rsidTr="00803992">
                                      <w:trPr>
                                        <w:jc w:val="center"/>
                                      </w:trPr>
                                      <w:tc>
                                        <w:tcPr>
                                          <w:tcW w:w="5000" w:type="pct"/>
                                          <w:tcMar>
                                            <w:top w:w="0" w:type="dxa"/>
                                            <w:left w:w="150" w:type="dxa"/>
                                            <w:bottom w:w="0" w:type="dxa"/>
                                            <w:right w:w="150" w:type="dxa"/>
                                          </w:tcMar>
                                          <w:vAlign w:val="center"/>
                                          <w:hideMark/>
                                        </w:tcPr>
                                        <w:p w14:paraId="4308D12B" w14:textId="77777777" w:rsidR="00803992" w:rsidRPr="00803992" w:rsidRDefault="00803992" w:rsidP="00803992">
                                          <w:pPr>
                                            <w:spacing w:after="0" w:line="240" w:lineRule="auto"/>
                                            <w:rPr>
                                              <w:rFonts w:ascii="Times New Roman" w:eastAsia="Times New Roman" w:hAnsi="Times New Roman" w:cs="Times New Roman"/>
                                              <w:kern w:val="0"/>
                                              <w:sz w:val="20"/>
                                              <w:szCs w:val="20"/>
                                              <w14:ligatures w14:val="none"/>
                                            </w:rPr>
                                          </w:pPr>
                                        </w:p>
                                      </w:tc>
                                    </w:tr>
                                    <w:tr w:rsidR="00803992" w:rsidRPr="00803992" w14:paraId="2492E3A4" w14:textId="77777777" w:rsidTr="00803992">
                                      <w:trPr>
                                        <w:jc w:val="center"/>
                                      </w:trPr>
                                      <w:tc>
                                        <w:tcPr>
                                          <w:tcW w:w="5000" w:type="pct"/>
                                          <w:tcMar>
                                            <w:top w:w="0" w:type="dxa"/>
                                            <w:left w:w="150" w:type="dxa"/>
                                            <w:bottom w:w="0" w:type="dxa"/>
                                            <w:right w:w="150" w:type="dxa"/>
                                          </w:tcMar>
                                          <w:vAlign w:val="center"/>
                                          <w:hideMark/>
                                        </w:tcPr>
                                        <w:p w14:paraId="5F6AF055" w14:textId="77777777" w:rsidR="00803992" w:rsidRPr="00803992" w:rsidRDefault="00803992" w:rsidP="00803992">
                                          <w:pPr>
                                            <w:spacing w:after="0" w:line="240" w:lineRule="auto"/>
                                            <w:rPr>
                                              <w:rFonts w:ascii="Times New Roman" w:eastAsia="Times New Roman" w:hAnsi="Times New Roman" w:cs="Times New Roman"/>
                                              <w:kern w:val="0"/>
                                              <w:sz w:val="20"/>
                                              <w:szCs w:val="20"/>
                                              <w14:ligatures w14:val="none"/>
                                            </w:rPr>
                                          </w:pPr>
                                        </w:p>
                                      </w:tc>
                                    </w:tr>
                                    <w:tr w:rsidR="00803992" w:rsidRPr="00803992" w14:paraId="0B3C1524" w14:textId="77777777" w:rsidTr="00803992">
                                      <w:trPr>
                                        <w:jc w:val="center"/>
                                      </w:trPr>
                                      <w:tc>
                                        <w:tcPr>
                                          <w:tcW w:w="5000" w:type="pct"/>
                                          <w:tcMar>
                                            <w:top w:w="150" w:type="dxa"/>
                                            <w:left w:w="150" w:type="dxa"/>
                                            <w:bottom w:w="150" w:type="dxa"/>
                                            <w:right w:w="150" w:type="dxa"/>
                                          </w:tcMar>
                                          <w:vAlign w:val="center"/>
                                          <w:hideMark/>
                                        </w:tcPr>
                                        <w:p w14:paraId="3233E099" w14:textId="77777777" w:rsidR="00803992" w:rsidRPr="00803992" w:rsidRDefault="00803992" w:rsidP="00803992">
                                          <w:pPr>
                                            <w:spacing w:after="0" w:line="240" w:lineRule="auto"/>
                                            <w:rPr>
                                              <w:rFonts w:ascii="Times New Roman" w:eastAsia="Times New Roman" w:hAnsi="Times New Roman" w:cs="Times New Roman"/>
                                              <w:kern w:val="0"/>
                                              <w:sz w:val="20"/>
                                              <w:szCs w:val="20"/>
                                              <w14:ligatures w14:val="none"/>
                                            </w:rPr>
                                          </w:pPr>
                                        </w:p>
                                      </w:tc>
                                    </w:tr>
                                  </w:tbl>
                                  <w:p w14:paraId="1B03CB77" w14:textId="77777777" w:rsidR="00803992" w:rsidRPr="00803992" w:rsidRDefault="00803992" w:rsidP="00803992">
                                    <w:pPr>
                                      <w:spacing w:after="0" w:line="240" w:lineRule="auto"/>
                                      <w:jc w:val="center"/>
                                      <w:rPr>
                                        <w:rFonts w:ascii="Times New Roman" w:eastAsia="Times New Roman" w:hAnsi="Times New Roman" w:cs="Times New Roman"/>
                                        <w:kern w:val="0"/>
                                        <w:sz w:val="24"/>
                                        <w:szCs w:val="24"/>
                                        <w14:ligatures w14:val="none"/>
                                      </w:rPr>
                                    </w:pPr>
                                  </w:p>
                                </w:tc>
                              </w:tr>
                            </w:tbl>
                            <w:p w14:paraId="766DEF3B" w14:textId="77777777" w:rsidR="00803992" w:rsidRPr="00803992" w:rsidRDefault="00803992" w:rsidP="00803992">
                              <w:pPr>
                                <w:spacing w:after="0" w:line="240" w:lineRule="auto"/>
                                <w:jc w:val="center"/>
                                <w:rPr>
                                  <w:rFonts w:ascii="Times New Roman" w:eastAsia="Times New Roman" w:hAnsi="Times New Roman" w:cs="Times New Roman"/>
                                  <w:kern w:val="0"/>
                                  <w:sz w:val="24"/>
                                  <w:szCs w:val="24"/>
                                  <w14:ligatures w14:val="none"/>
                                </w:rPr>
                              </w:pPr>
                            </w:p>
                          </w:tc>
                        </w:tr>
                      </w:tbl>
                      <w:p w14:paraId="26EFFEE5" w14:textId="77777777" w:rsidR="00803992" w:rsidRPr="00803992" w:rsidRDefault="00803992" w:rsidP="00803992">
                        <w:pPr>
                          <w:spacing w:after="0" w:line="240" w:lineRule="auto"/>
                          <w:jc w:val="center"/>
                          <w:rPr>
                            <w:rFonts w:ascii="Times New Roman" w:eastAsia="Times New Roman" w:hAnsi="Times New Roman" w:cs="Times New Roman"/>
                            <w:kern w:val="0"/>
                            <w:sz w:val="24"/>
                            <w:szCs w:val="24"/>
                            <w14:ligatures w14:val="none"/>
                          </w:rPr>
                        </w:pPr>
                      </w:p>
                    </w:tc>
                  </w:tr>
                </w:tbl>
                <w:p w14:paraId="3B6235CA" w14:textId="77777777" w:rsidR="00803992" w:rsidRPr="00803992" w:rsidRDefault="00803992" w:rsidP="00803992">
                  <w:pPr>
                    <w:spacing w:after="0" w:line="240" w:lineRule="auto"/>
                    <w:jc w:val="center"/>
                    <w:rPr>
                      <w:rFonts w:ascii="Times New Roman" w:eastAsia="Times New Roman" w:hAnsi="Times New Roman" w:cs="Times New Roman"/>
                      <w:kern w:val="0"/>
                      <w:sz w:val="24"/>
                      <w:szCs w:val="24"/>
                      <w14:ligatures w14:val="none"/>
                    </w:rPr>
                  </w:pPr>
                </w:p>
              </w:tc>
            </w:tr>
          </w:tbl>
          <w:p w14:paraId="0CF7F7FC" w14:textId="77777777" w:rsidR="00803992" w:rsidRPr="00803992" w:rsidRDefault="00803992" w:rsidP="00803992">
            <w:pPr>
              <w:spacing w:after="0" w:line="240" w:lineRule="auto"/>
              <w:jc w:val="center"/>
              <w:rPr>
                <w:rFonts w:ascii="Times New Roman" w:eastAsia="Times New Roman" w:hAnsi="Times New Roman" w:cs="Times New Roman"/>
                <w:kern w:val="0"/>
                <w:sz w:val="24"/>
                <w:szCs w:val="24"/>
                <w14:ligatures w14:val="none"/>
              </w:rPr>
            </w:pPr>
          </w:p>
        </w:tc>
      </w:tr>
    </w:tbl>
    <w:p w14:paraId="05074B9D" w14:textId="77777777" w:rsidR="00803992" w:rsidRPr="00803992" w:rsidRDefault="00803992" w:rsidP="00803992">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803992">
        <w:rPr>
          <w:rFonts w:ascii="Times New Roman" w:eastAsia="Times New Roman" w:hAnsi="Times New Roman" w:cs="Times New Roman"/>
          <w:color w:val="222222"/>
          <w:kern w:val="0"/>
          <w:sz w:val="24"/>
          <w:szCs w:val="24"/>
          <w:lang w:val="en"/>
          <w14:ligatures w14:val="none"/>
        </w:rPr>
        <w:t> </w:t>
      </w:r>
    </w:p>
    <w:tbl>
      <w:tblPr>
        <w:tblW w:w="5000" w:type="pct"/>
        <w:jc w:val="center"/>
        <w:shd w:val="clear" w:color="auto" w:fill="F6F6F6"/>
        <w:tblCellMar>
          <w:left w:w="0" w:type="dxa"/>
          <w:right w:w="0" w:type="dxa"/>
        </w:tblCellMar>
        <w:tblLook w:val="04A0" w:firstRow="1" w:lastRow="0" w:firstColumn="1" w:lastColumn="0" w:noHBand="0" w:noVBand="1"/>
      </w:tblPr>
      <w:tblGrid>
        <w:gridCol w:w="9360"/>
      </w:tblGrid>
      <w:tr w:rsidR="00803992" w:rsidRPr="00803992" w14:paraId="7A5C692A" w14:textId="77777777" w:rsidTr="00803992">
        <w:trPr>
          <w:jc w:val="center"/>
        </w:trPr>
        <w:tc>
          <w:tcPr>
            <w:tcW w:w="0" w:type="auto"/>
            <w:shd w:val="clear" w:color="auto" w:fill="F6F6F6"/>
            <w:tcMar>
              <w:top w:w="30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03992" w:rsidRPr="00803992" w14:paraId="3D30F7B9" w14:textId="77777777">
              <w:trPr>
                <w:jc w:val="center"/>
              </w:trPr>
              <w:tc>
                <w:tcPr>
                  <w:tcW w:w="0" w:type="auto"/>
                  <w:tcMar>
                    <w:top w:w="0" w:type="dxa"/>
                    <w:left w:w="150" w:type="dxa"/>
                    <w:bottom w:w="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5655"/>
                    <w:gridCol w:w="3045"/>
                  </w:tblGrid>
                  <w:tr w:rsidR="00803992" w:rsidRPr="00803992" w14:paraId="5B299DF3" w14:textId="77777777">
                    <w:trPr>
                      <w:jc w:val="center"/>
                    </w:trPr>
                    <w:tc>
                      <w:tcPr>
                        <w:tcW w:w="3250" w:type="pct"/>
                        <w:hideMark/>
                      </w:tcPr>
                      <w:tbl>
                        <w:tblPr>
                          <w:tblW w:w="5000" w:type="pct"/>
                          <w:jc w:val="center"/>
                          <w:tblCellMar>
                            <w:left w:w="0" w:type="dxa"/>
                            <w:right w:w="0" w:type="dxa"/>
                          </w:tblCellMar>
                          <w:tblLook w:val="04A0" w:firstRow="1" w:lastRow="0" w:firstColumn="1" w:lastColumn="0" w:noHBand="0" w:noVBand="1"/>
                        </w:tblPr>
                        <w:tblGrid>
                          <w:gridCol w:w="5655"/>
                        </w:tblGrid>
                        <w:tr w:rsidR="00803992" w:rsidRPr="00803992" w14:paraId="3B2CA078" w14:textId="77777777" w:rsidTr="00803992">
                          <w:trPr>
                            <w:jc w:val="center"/>
                          </w:trPr>
                          <w:tc>
                            <w:tcPr>
                              <w:tcW w:w="5000" w:type="pct"/>
                              <w:tcMar>
                                <w:top w:w="300" w:type="dxa"/>
                                <w:left w:w="150" w:type="dxa"/>
                                <w:bottom w:w="150" w:type="dxa"/>
                                <w:right w:w="150" w:type="dxa"/>
                              </w:tcMar>
                              <w:vAlign w:val="center"/>
                              <w:hideMark/>
                            </w:tcPr>
                            <w:p w14:paraId="03EC66C8" w14:textId="77777777" w:rsidR="00803992" w:rsidRPr="00803992" w:rsidRDefault="00803992" w:rsidP="00803992">
                              <w:pPr>
                                <w:spacing w:before="100" w:beforeAutospacing="1" w:after="150" w:line="240" w:lineRule="auto"/>
                                <w:outlineLvl w:val="0"/>
                                <w:rPr>
                                  <w:rFonts w:ascii="Times New Roman" w:eastAsia="Times New Roman" w:hAnsi="Times New Roman" w:cs="Times New Roman"/>
                                  <w:b/>
                                  <w:bCs/>
                                  <w:kern w:val="36"/>
                                  <w:sz w:val="48"/>
                                  <w:szCs w:val="48"/>
                                  <w14:ligatures w14:val="none"/>
                                </w:rPr>
                              </w:pPr>
                              <w:r w:rsidRPr="00803992">
                                <w:rPr>
                                  <w:rFonts w:ascii="Arial" w:eastAsia="Times New Roman" w:hAnsi="Arial" w:cs="Arial"/>
                                  <w:b/>
                                  <w:bCs/>
                                  <w:color w:val="101820"/>
                                  <w:kern w:val="36"/>
                                  <w:sz w:val="27"/>
                                  <w:szCs w:val="27"/>
                                  <w14:ligatures w14:val="none"/>
                                </w:rPr>
                                <w:t>About the Bureau</w:t>
                              </w:r>
                            </w:p>
                            <w:p w14:paraId="1F2FC898" w14:textId="77777777" w:rsidR="00803992" w:rsidRPr="00803992" w:rsidRDefault="00803992" w:rsidP="00803992">
                              <w:pPr>
                                <w:spacing w:before="100" w:beforeAutospacing="1" w:after="150" w:line="240" w:lineRule="auto"/>
                                <w:rPr>
                                  <w:rFonts w:ascii="Times New Roman" w:eastAsia="Times New Roman" w:hAnsi="Times New Roman" w:cs="Times New Roman"/>
                                  <w:kern w:val="0"/>
                                  <w:sz w:val="24"/>
                                  <w:szCs w:val="24"/>
                                  <w14:ligatures w14:val="none"/>
                                </w:rPr>
                              </w:pPr>
                              <w:r w:rsidRPr="00803992">
                                <w:rPr>
                                  <w:rFonts w:ascii="Arial" w:eastAsia="Times New Roman" w:hAnsi="Arial" w:cs="Arial"/>
                                  <w:color w:val="101820"/>
                                  <w:kern w:val="0"/>
                                  <w:sz w:val="18"/>
                                  <w:szCs w:val="18"/>
                                  <w14:ligatures w14:val="none"/>
                                </w:rPr>
                                <w:t xml:space="preserve">The Consumer Financial Protection Bureau is a 21st century agency that helps consumer finance markets work by making rules more effective, by consistently and fairly enforcing those rules, and </w:t>
                              </w:r>
                              <w:r w:rsidRPr="00803992">
                                <w:rPr>
                                  <w:rFonts w:ascii="Arial" w:eastAsia="Times New Roman" w:hAnsi="Arial" w:cs="Arial"/>
                                  <w:color w:val="101820"/>
                                  <w:kern w:val="0"/>
                                  <w:sz w:val="18"/>
                                  <w:szCs w:val="18"/>
                                  <w14:ligatures w14:val="none"/>
                                </w:rPr>
                                <w:lastRenderedPageBreak/>
                                <w:t>by empowering consumers to take more control over their economic lives.</w:t>
                              </w:r>
                            </w:p>
                            <w:p w14:paraId="072F4311" w14:textId="77777777" w:rsidR="00803992" w:rsidRPr="00803992" w:rsidRDefault="00803992" w:rsidP="00803992">
                              <w:pPr>
                                <w:spacing w:before="100" w:beforeAutospacing="1" w:after="150" w:line="240" w:lineRule="auto"/>
                                <w:rPr>
                                  <w:rFonts w:ascii="Times New Roman" w:eastAsia="Times New Roman" w:hAnsi="Times New Roman" w:cs="Times New Roman"/>
                                  <w:kern w:val="0"/>
                                  <w:sz w:val="24"/>
                                  <w:szCs w:val="24"/>
                                  <w14:ligatures w14:val="none"/>
                                </w:rPr>
                              </w:pPr>
                              <w:r w:rsidRPr="00803992">
                                <w:rPr>
                                  <w:rFonts w:ascii="Arial" w:eastAsia="Times New Roman" w:hAnsi="Arial" w:cs="Arial"/>
                                  <w:color w:val="101820"/>
                                  <w:kern w:val="0"/>
                                  <w:sz w:val="18"/>
                                  <w:szCs w:val="18"/>
                                  <w14:ligatures w14:val="none"/>
                                </w:rPr>
                                <w:t>Learn more at </w:t>
                              </w:r>
                              <w:hyperlink r:id="rId8" w:tgtFrame="_blank" w:history="1">
                                <w:r w:rsidRPr="00803992">
                                  <w:rPr>
                                    <w:rFonts w:ascii="Arial" w:eastAsia="Times New Roman" w:hAnsi="Arial" w:cs="Arial"/>
                                    <w:color w:val="0071CD"/>
                                    <w:kern w:val="0"/>
                                    <w:sz w:val="18"/>
                                    <w:szCs w:val="18"/>
                                    <w:u w:val="single"/>
                                    <w14:ligatures w14:val="none"/>
                                  </w:rPr>
                                  <w:t>consumerfinance.gov</w:t>
                                </w:r>
                              </w:hyperlink>
                              <w:r w:rsidRPr="00803992">
                                <w:rPr>
                                  <w:rFonts w:ascii="Arial" w:eastAsia="Times New Roman" w:hAnsi="Arial" w:cs="Arial"/>
                                  <w:color w:val="101820"/>
                                  <w:kern w:val="0"/>
                                  <w:sz w:val="18"/>
                                  <w:szCs w:val="18"/>
                                  <w14:ligatures w14:val="none"/>
                                </w:rPr>
                                <w:t>. </w:t>
                              </w:r>
                            </w:p>
                          </w:tc>
                        </w:tr>
                      </w:tbl>
                      <w:p w14:paraId="3A14E566" w14:textId="77777777" w:rsidR="00803992" w:rsidRPr="00803992" w:rsidRDefault="00803992" w:rsidP="00803992">
                        <w:pPr>
                          <w:spacing w:after="0" w:line="240" w:lineRule="auto"/>
                          <w:jc w:val="center"/>
                          <w:rPr>
                            <w:rFonts w:ascii="Times New Roman" w:eastAsia="Times New Roman" w:hAnsi="Times New Roman" w:cs="Times New Roman"/>
                            <w:kern w:val="0"/>
                            <w:sz w:val="24"/>
                            <w:szCs w:val="24"/>
                            <w14:ligatures w14:val="none"/>
                          </w:rPr>
                        </w:pPr>
                      </w:p>
                    </w:tc>
                    <w:tc>
                      <w:tcPr>
                        <w:tcW w:w="1750" w:type="pct"/>
                        <w:hideMark/>
                      </w:tcPr>
                      <w:tbl>
                        <w:tblPr>
                          <w:tblW w:w="5000" w:type="pct"/>
                          <w:jc w:val="center"/>
                          <w:tblCellMar>
                            <w:left w:w="0" w:type="dxa"/>
                            <w:right w:w="0" w:type="dxa"/>
                          </w:tblCellMar>
                          <w:tblLook w:val="04A0" w:firstRow="1" w:lastRow="0" w:firstColumn="1" w:lastColumn="0" w:noHBand="0" w:noVBand="1"/>
                        </w:tblPr>
                        <w:tblGrid>
                          <w:gridCol w:w="3045"/>
                        </w:tblGrid>
                        <w:tr w:rsidR="00803992" w:rsidRPr="00803992" w14:paraId="0370AF6E" w14:textId="77777777" w:rsidTr="00803992">
                          <w:trPr>
                            <w:jc w:val="center"/>
                          </w:trPr>
                          <w:tc>
                            <w:tcPr>
                              <w:tcW w:w="5000" w:type="pct"/>
                              <w:tcMar>
                                <w:top w:w="300" w:type="dxa"/>
                                <w:left w:w="150" w:type="dxa"/>
                                <w:bottom w:w="30" w:type="dxa"/>
                                <w:right w:w="150" w:type="dxa"/>
                              </w:tcMar>
                              <w:vAlign w:val="center"/>
                              <w:hideMark/>
                            </w:tcPr>
                            <w:p w14:paraId="4EB150AC" w14:textId="77777777" w:rsidR="00803992" w:rsidRPr="00803992" w:rsidRDefault="00803992" w:rsidP="00803992">
                              <w:pPr>
                                <w:spacing w:after="0" w:line="240" w:lineRule="auto"/>
                                <w:rPr>
                                  <w:rFonts w:ascii="Times New Roman" w:eastAsia="Times New Roman" w:hAnsi="Times New Roman" w:cs="Times New Roman"/>
                                  <w:kern w:val="0"/>
                                  <w:sz w:val="24"/>
                                  <w:szCs w:val="24"/>
                                  <w14:ligatures w14:val="none"/>
                                </w:rPr>
                              </w:pPr>
                              <w:r w:rsidRPr="00803992">
                                <w:rPr>
                                  <w:rFonts w:ascii="Arial" w:eastAsia="Times New Roman" w:hAnsi="Arial" w:cs="Arial"/>
                                  <w:b/>
                                  <w:bCs/>
                                  <w:color w:val="101820"/>
                                  <w:kern w:val="0"/>
                                  <w:sz w:val="23"/>
                                  <w:szCs w:val="23"/>
                                  <w14:ligatures w14:val="none"/>
                                </w:rPr>
                                <w:lastRenderedPageBreak/>
                                <w:t>Connect with us</w:t>
                              </w:r>
                            </w:p>
                          </w:tc>
                        </w:tr>
                        <w:tr w:rsidR="00803992" w:rsidRPr="00803992" w14:paraId="3D1C4E5B" w14:textId="77777777" w:rsidTr="00803992">
                          <w:trPr>
                            <w:jc w:val="center"/>
                          </w:trPr>
                          <w:tc>
                            <w:tcPr>
                              <w:tcW w:w="5000" w:type="pct"/>
                              <w:tcMar>
                                <w:top w:w="0" w:type="dxa"/>
                                <w:left w:w="150" w:type="dxa"/>
                                <w:bottom w:w="0" w:type="dxa"/>
                                <w:right w:w="150" w:type="dxa"/>
                              </w:tcMar>
                              <w:vAlign w:val="center"/>
                              <w:hideMark/>
                            </w:tcPr>
                            <w:p w14:paraId="1506B361" w14:textId="77777777" w:rsidR="00803992" w:rsidRPr="00803992" w:rsidRDefault="00803992" w:rsidP="00803992">
                              <w:pPr>
                                <w:spacing w:after="0" w:line="240" w:lineRule="auto"/>
                                <w:rPr>
                                  <w:rFonts w:ascii="Times New Roman" w:eastAsia="Times New Roman" w:hAnsi="Times New Roman" w:cs="Times New Roman"/>
                                  <w:kern w:val="0"/>
                                  <w:sz w:val="24"/>
                                  <w:szCs w:val="24"/>
                                  <w14:ligatures w14:val="none"/>
                                </w:rPr>
                              </w:pPr>
                              <w:r w:rsidRPr="00803992">
                                <w:rPr>
                                  <w:rFonts w:ascii="Times New Roman" w:eastAsia="Times New Roman" w:hAnsi="Times New Roman" w:cs="Times New Roman"/>
                                  <w:noProof/>
                                  <w:color w:val="0071CD"/>
                                  <w:kern w:val="0"/>
                                  <w:sz w:val="24"/>
                                  <w:szCs w:val="24"/>
                                  <w14:ligatures w14:val="none"/>
                                </w:rPr>
                                <w:drawing>
                                  <wp:inline distT="0" distB="0" distL="0" distR="0" wp14:anchorId="693FA3E5" wp14:editId="497F68A0">
                                    <wp:extent cx="322580" cy="246380"/>
                                    <wp:effectExtent l="0" t="0" r="0" b="1270"/>
                                    <wp:docPr id="14" name="m_-8325017385916400722_x0000_i1036"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325017385916400722_x0000_i1036"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 cy="246380"/>
                                            </a:xfrm>
                                            <a:prstGeom prst="rect">
                                              <a:avLst/>
                                            </a:prstGeom>
                                            <a:noFill/>
                                            <a:ln>
                                              <a:noFill/>
                                            </a:ln>
                                          </pic:spPr>
                                        </pic:pic>
                                      </a:graphicData>
                                    </a:graphic>
                                  </wp:inline>
                                </w:drawing>
                              </w:r>
                              <w:r w:rsidRPr="00803992">
                                <w:rPr>
                                  <w:rFonts w:ascii="Times New Roman" w:eastAsia="Times New Roman" w:hAnsi="Times New Roman" w:cs="Times New Roman"/>
                                  <w:noProof/>
                                  <w:color w:val="0071CD"/>
                                  <w:kern w:val="0"/>
                                  <w:sz w:val="24"/>
                                  <w:szCs w:val="24"/>
                                  <w14:ligatures w14:val="none"/>
                                </w:rPr>
                                <w:drawing>
                                  <wp:inline distT="0" distB="0" distL="0" distR="0" wp14:anchorId="37DD9333" wp14:editId="4A64D388">
                                    <wp:extent cx="349885" cy="246380"/>
                                    <wp:effectExtent l="0" t="0" r="0" b="1270"/>
                                    <wp:docPr id="15" name="m_-8325017385916400722_x0000_i1035" descr="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325017385916400722_x0000_i1035"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246380"/>
                                            </a:xfrm>
                                            <a:prstGeom prst="rect">
                                              <a:avLst/>
                                            </a:prstGeom>
                                            <a:noFill/>
                                            <a:ln>
                                              <a:noFill/>
                                            </a:ln>
                                          </pic:spPr>
                                        </pic:pic>
                                      </a:graphicData>
                                    </a:graphic>
                                  </wp:inline>
                                </w:drawing>
                              </w:r>
                            </w:p>
                          </w:tc>
                        </w:tr>
                        <w:tr w:rsidR="00803992" w:rsidRPr="00803992" w14:paraId="5BD17E4E" w14:textId="77777777" w:rsidTr="00803992">
                          <w:trPr>
                            <w:jc w:val="center"/>
                          </w:trPr>
                          <w:tc>
                            <w:tcPr>
                              <w:tcW w:w="5000" w:type="pct"/>
                              <w:tcMar>
                                <w:top w:w="150" w:type="dxa"/>
                                <w:left w:w="150" w:type="dxa"/>
                                <w:bottom w:w="150" w:type="dxa"/>
                                <w:right w:w="150" w:type="dxa"/>
                              </w:tcMar>
                              <w:vAlign w:val="center"/>
                              <w:hideMark/>
                            </w:tcPr>
                            <w:p w14:paraId="01F6C2CB" w14:textId="77777777" w:rsidR="00803992" w:rsidRPr="00803992" w:rsidRDefault="00803992" w:rsidP="00803992">
                              <w:pPr>
                                <w:spacing w:before="100" w:beforeAutospacing="1" w:after="150" w:line="240" w:lineRule="auto"/>
                                <w:outlineLvl w:val="1"/>
                                <w:rPr>
                                  <w:rFonts w:ascii="Times New Roman" w:eastAsia="Times New Roman" w:hAnsi="Times New Roman" w:cs="Times New Roman"/>
                                  <w:b/>
                                  <w:bCs/>
                                  <w:kern w:val="0"/>
                                  <w:sz w:val="36"/>
                                  <w:szCs w:val="36"/>
                                  <w14:ligatures w14:val="none"/>
                                </w:rPr>
                              </w:pPr>
                              <w:r w:rsidRPr="00803992">
                                <w:rPr>
                                  <w:rFonts w:ascii="Arial" w:eastAsia="Times New Roman" w:hAnsi="Arial" w:cs="Arial"/>
                                  <w:b/>
                                  <w:bCs/>
                                  <w:color w:val="101820"/>
                                  <w:kern w:val="0"/>
                                  <w:sz w:val="23"/>
                                  <w:szCs w:val="23"/>
                                  <w14:ligatures w14:val="none"/>
                                </w:rPr>
                                <w:lastRenderedPageBreak/>
                                <w:t>Resources</w:t>
                              </w:r>
                            </w:p>
                            <w:p w14:paraId="729B8F07" w14:textId="77777777" w:rsidR="00803992" w:rsidRPr="00803992" w:rsidRDefault="00803992" w:rsidP="00803992">
                              <w:pPr>
                                <w:spacing w:before="100" w:beforeAutospacing="1" w:after="150" w:line="240" w:lineRule="auto"/>
                                <w:rPr>
                                  <w:rFonts w:ascii="Times New Roman" w:eastAsia="Times New Roman" w:hAnsi="Times New Roman" w:cs="Times New Roman"/>
                                  <w:kern w:val="0"/>
                                  <w:sz w:val="24"/>
                                  <w:szCs w:val="24"/>
                                  <w14:ligatures w14:val="none"/>
                                </w:rPr>
                              </w:pPr>
                              <w:hyperlink r:id="rId13" w:tgtFrame="_blank" w:history="1">
                                <w:r w:rsidRPr="00803992">
                                  <w:rPr>
                                    <w:rFonts w:ascii="Arial" w:eastAsia="Times New Roman" w:hAnsi="Arial" w:cs="Arial"/>
                                    <w:color w:val="0071CD"/>
                                    <w:kern w:val="0"/>
                                    <w:sz w:val="18"/>
                                    <w:szCs w:val="18"/>
                                    <w:u w:val="single"/>
                                    <w14:ligatures w14:val="none"/>
                                  </w:rPr>
                                  <w:t>Ask CFPB</w:t>
                                </w:r>
                              </w:hyperlink>
                            </w:p>
                            <w:p w14:paraId="54CB02F8" w14:textId="77777777" w:rsidR="00803992" w:rsidRPr="00803992" w:rsidRDefault="00803992" w:rsidP="00803992">
                              <w:pPr>
                                <w:spacing w:before="100" w:beforeAutospacing="1" w:after="150" w:line="240" w:lineRule="auto"/>
                                <w:rPr>
                                  <w:rFonts w:ascii="Times New Roman" w:eastAsia="Times New Roman" w:hAnsi="Times New Roman" w:cs="Times New Roman"/>
                                  <w:kern w:val="0"/>
                                  <w:sz w:val="24"/>
                                  <w:szCs w:val="24"/>
                                  <w14:ligatures w14:val="none"/>
                                </w:rPr>
                              </w:pPr>
                              <w:hyperlink r:id="rId14" w:tgtFrame="_blank" w:history="1">
                                <w:r w:rsidRPr="00803992">
                                  <w:rPr>
                                    <w:rFonts w:ascii="Arial" w:eastAsia="Times New Roman" w:hAnsi="Arial" w:cs="Arial"/>
                                    <w:color w:val="0071CD"/>
                                    <w:kern w:val="0"/>
                                    <w:sz w:val="18"/>
                                    <w:szCs w:val="18"/>
                                    <w:u w:val="single"/>
                                    <w14:ligatures w14:val="none"/>
                                  </w:rPr>
                                  <w:t>Bureau blog</w:t>
                                </w:r>
                              </w:hyperlink>
                            </w:p>
                            <w:p w14:paraId="0B3DC594" w14:textId="77777777" w:rsidR="00803992" w:rsidRPr="00803992" w:rsidRDefault="00803992" w:rsidP="00803992">
                              <w:pPr>
                                <w:spacing w:before="100" w:beforeAutospacing="1" w:after="150" w:line="240" w:lineRule="auto"/>
                                <w:rPr>
                                  <w:rFonts w:ascii="Times New Roman" w:eastAsia="Times New Roman" w:hAnsi="Times New Roman" w:cs="Times New Roman"/>
                                  <w:kern w:val="0"/>
                                  <w:sz w:val="24"/>
                                  <w:szCs w:val="24"/>
                                  <w14:ligatures w14:val="none"/>
                                </w:rPr>
                              </w:pPr>
                              <w:hyperlink r:id="rId15" w:tgtFrame="_blank" w:history="1">
                                <w:r w:rsidRPr="00803992">
                                  <w:rPr>
                                    <w:rFonts w:ascii="Arial" w:eastAsia="Times New Roman" w:hAnsi="Arial" w:cs="Arial"/>
                                    <w:color w:val="0071CD"/>
                                    <w:kern w:val="0"/>
                                    <w:sz w:val="18"/>
                                    <w:szCs w:val="18"/>
                                    <w:u w:val="single"/>
                                    <w14:ligatures w14:val="none"/>
                                  </w:rPr>
                                  <w:t>Submit a complaint</w:t>
                                </w:r>
                              </w:hyperlink>
                            </w:p>
                          </w:tc>
                        </w:tr>
                      </w:tbl>
                      <w:p w14:paraId="0EE75161" w14:textId="77777777" w:rsidR="00803992" w:rsidRPr="00803992" w:rsidRDefault="00803992" w:rsidP="00803992">
                        <w:pPr>
                          <w:spacing w:after="0" w:line="240" w:lineRule="auto"/>
                          <w:jc w:val="center"/>
                          <w:rPr>
                            <w:rFonts w:ascii="Times New Roman" w:eastAsia="Times New Roman" w:hAnsi="Times New Roman" w:cs="Times New Roman"/>
                            <w:kern w:val="0"/>
                            <w:sz w:val="24"/>
                            <w:szCs w:val="24"/>
                            <w14:ligatures w14:val="none"/>
                          </w:rPr>
                        </w:pPr>
                      </w:p>
                    </w:tc>
                  </w:tr>
                </w:tbl>
                <w:p w14:paraId="669D5774" w14:textId="77777777" w:rsidR="00803992" w:rsidRPr="00803992" w:rsidRDefault="00803992" w:rsidP="00803992">
                  <w:pPr>
                    <w:spacing w:after="0" w:line="240" w:lineRule="auto"/>
                    <w:jc w:val="center"/>
                    <w:rPr>
                      <w:rFonts w:ascii="Times New Roman" w:eastAsia="Times New Roman" w:hAnsi="Times New Roman" w:cs="Times New Roman"/>
                      <w:kern w:val="0"/>
                      <w:sz w:val="24"/>
                      <w:szCs w:val="24"/>
                      <w14:ligatures w14:val="none"/>
                    </w:rPr>
                  </w:pPr>
                </w:p>
              </w:tc>
            </w:tr>
          </w:tbl>
          <w:p w14:paraId="1A9C5458" w14:textId="77777777" w:rsidR="00803992" w:rsidRPr="00803992" w:rsidRDefault="00803992" w:rsidP="00803992">
            <w:pPr>
              <w:spacing w:after="0" w:line="240" w:lineRule="auto"/>
              <w:jc w:val="center"/>
              <w:rPr>
                <w:rFonts w:ascii="Times New Roman" w:eastAsia="Times New Roman" w:hAnsi="Times New Roman" w:cs="Times New Roman"/>
                <w:kern w:val="0"/>
                <w:sz w:val="24"/>
                <w:szCs w:val="24"/>
                <w14:ligatures w14:val="none"/>
              </w:rPr>
            </w:pPr>
          </w:p>
        </w:tc>
      </w:tr>
    </w:tbl>
    <w:p w14:paraId="463B6F1D" w14:textId="77777777" w:rsidR="00803992" w:rsidRPr="00803992" w:rsidRDefault="00803992" w:rsidP="00803992">
      <w:pPr>
        <w:shd w:val="clear" w:color="auto" w:fill="FFFFFF"/>
        <w:spacing w:after="0" w:line="240" w:lineRule="auto"/>
        <w:jc w:val="center"/>
        <w:rPr>
          <w:rFonts w:ascii="Arial" w:eastAsia="Times New Roman" w:hAnsi="Arial" w:cs="Arial"/>
          <w:color w:val="222222"/>
          <w:kern w:val="0"/>
          <w:sz w:val="24"/>
          <w:szCs w:val="24"/>
          <w:lang w:val="en"/>
          <w14:ligatures w14:val="none"/>
        </w:rPr>
      </w:pPr>
      <w:r w:rsidRPr="00803992">
        <w:rPr>
          <w:rFonts w:ascii="Arial" w:eastAsia="Times New Roman" w:hAnsi="Arial" w:cs="Arial"/>
          <w:color w:val="222222"/>
          <w:kern w:val="0"/>
          <w:sz w:val="24"/>
          <w:szCs w:val="24"/>
          <w:lang w:val="en"/>
          <w14:ligatures w14:val="none"/>
        </w:rPr>
        <w:lastRenderedPageBreak/>
        <w:pict w14:anchorId="1CE824CD">
          <v:rect id="_x0000_i1025" style="width:468pt;height:1.5pt" o:hralign="center" o:hrstd="t" o:hr="t" fillcolor="#a0a0a0" stroked="f"/>
        </w:pict>
      </w:r>
    </w:p>
    <w:p w14:paraId="712272F0" w14:textId="77777777" w:rsidR="00803992" w:rsidRPr="00803992" w:rsidRDefault="00803992" w:rsidP="00803992">
      <w:pPr>
        <w:shd w:val="clear" w:color="auto" w:fill="FFFFFF"/>
        <w:spacing w:before="100" w:beforeAutospacing="1" w:after="100" w:afterAutospacing="1" w:line="240" w:lineRule="auto"/>
        <w:jc w:val="center"/>
        <w:rPr>
          <w:rFonts w:ascii="Times New Roman" w:eastAsia="Times New Roman" w:hAnsi="Times New Roman" w:cs="Times New Roman"/>
          <w:color w:val="222222"/>
          <w:kern w:val="0"/>
          <w:sz w:val="24"/>
          <w:szCs w:val="24"/>
          <w14:ligatures w14:val="none"/>
        </w:rPr>
      </w:pPr>
      <w:hyperlink r:id="rId16" w:tgtFrame="_blank" w:history="1">
        <w:r w:rsidRPr="00803992">
          <w:rPr>
            <w:rFonts w:ascii="Times New Roman" w:eastAsia="Times New Roman" w:hAnsi="Times New Roman" w:cs="Times New Roman"/>
            <w:color w:val="1155CC"/>
            <w:kern w:val="0"/>
            <w:sz w:val="24"/>
            <w:szCs w:val="24"/>
            <w:u w:val="single"/>
            <w:lang w:val="en"/>
            <w14:ligatures w14:val="none"/>
          </w:rPr>
          <w:t>Consumer Financial Protection Bureau</w:t>
        </w:r>
      </w:hyperlink>
      <w:r w:rsidRPr="00803992">
        <w:rPr>
          <w:rFonts w:ascii="Times New Roman" w:eastAsia="Times New Roman" w:hAnsi="Times New Roman" w:cs="Times New Roman"/>
          <w:color w:val="222222"/>
          <w:kern w:val="0"/>
          <w:sz w:val="24"/>
          <w:szCs w:val="24"/>
          <w:lang w:val="en"/>
          <w14:ligatures w14:val="none"/>
        </w:rPr>
        <w:t> · 1700 G Street, N.W. · Washington, D.C. 20552</w:t>
      </w:r>
      <w:r w:rsidRPr="00803992">
        <w:rPr>
          <w:rFonts w:ascii="Times New Roman" w:eastAsia="Times New Roman" w:hAnsi="Times New Roman" w:cs="Times New Roman"/>
          <w:color w:val="222222"/>
          <w:kern w:val="0"/>
          <w:sz w:val="24"/>
          <w:szCs w:val="24"/>
          <w:lang w:val="en"/>
          <w14:ligatures w14:val="none"/>
        </w:rPr>
        <w:br/>
        <w:t>Log in to: </w:t>
      </w:r>
      <w:hyperlink r:id="rId17" w:tgtFrame="_blank" w:history="1">
        <w:r w:rsidRPr="00803992">
          <w:rPr>
            <w:rFonts w:ascii="Times New Roman" w:eastAsia="Times New Roman" w:hAnsi="Times New Roman" w:cs="Times New Roman"/>
            <w:color w:val="1155CC"/>
            <w:kern w:val="0"/>
            <w:sz w:val="24"/>
            <w:szCs w:val="24"/>
            <w:u w:val="single"/>
            <w:lang w:val="en"/>
            <w14:ligatures w14:val="none"/>
          </w:rPr>
          <w:t>Update Your Profile</w:t>
        </w:r>
      </w:hyperlink>
      <w:r w:rsidRPr="00803992">
        <w:rPr>
          <w:rFonts w:ascii="Times New Roman" w:eastAsia="Times New Roman" w:hAnsi="Times New Roman" w:cs="Times New Roman"/>
          <w:color w:val="222222"/>
          <w:kern w:val="0"/>
          <w:sz w:val="24"/>
          <w:szCs w:val="24"/>
          <w:lang w:val="en"/>
          <w14:ligatures w14:val="none"/>
        </w:rPr>
        <w:t> · </w:t>
      </w:r>
      <w:hyperlink r:id="rId18" w:tgtFrame="_blank" w:history="1">
        <w:r w:rsidRPr="00803992">
          <w:rPr>
            <w:rFonts w:ascii="Times New Roman" w:eastAsia="Times New Roman" w:hAnsi="Times New Roman" w:cs="Times New Roman"/>
            <w:color w:val="1155CC"/>
            <w:kern w:val="0"/>
            <w:sz w:val="24"/>
            <w:szCs w:val="24"/>
            <w:u w:val="single"/>
            <w:lang w:val="en"/>
            <w14:ligatures w14:val="none"/>
          </w:rPr>
          <w:t>Manage Your Email Subscriptions</w:t>
        </w:r>
      </w:hyperlink>
      <w:r w:rsidRPr="00803992">
        <w:rPr>
          <w:rFonts w:ascii="Times New Roman" w:eastAsia="Times New Roman" w:hAnsi="Times New Roman" w:cs="Times New Roman"/>
          <w:color w:val="222222"/>
          <w:kern w:val="0"/>
          <w:sz w:val="24"/>
          <w:szCs w:val="24"/>
          <w:lang w:val="en"/>
          <w14:ligatures w14:val="none"/>
        </w:rPr>
        <w:t> · </w:t>
      </w:r>
      <w:hyperlink r:id="rId19" w:tgtFrame="_blank" w:history="1">
        <w:r w:rsidRPr="00803992">
          <w:rPr>
            <w:rFonts w:ascii="Times New Roman" w:eastAsia="Times New Roman" w:hAnsi="Times New Roman" w:cs="Times New Roman"/>
            <w:color w:val="1155CC"/>
            <w:kern w:val="0"/>
            <w:sz w:val="24"/>
            <w:szCs w:val="24"/>
            <w:u w:val="single"/>
            <w:lang w:val="en"/>
            <w14:ligatures w14:val="none"/>
          </w:rPr>
          <w:t>Unsubscribe</w:t>
        </w:r>
      </w:hyperlink>
      <w:r w:rsidRPr="00803992">
        <w:rPr>
          <w:rFonts w:ascii="Times New Roman" w:eastAsia="Times New Roman" w:hAnsi="Times New Roman" w:cs="Times New Roman"/>
          <w:color w:val="222222"/>
          <w:kern w:val="0"/>
          <w:sz w:val="24"/>
          <w:szCs w:val="24"/>
          <w:lang w:val="en"/>
          <w14:ligatures w14:val="none"/>
        </w:rPr>
        <w:br/>
      </w:r>
      <w:hyperlink r:id="rId20" w:tgtFrame="_blank" w:history="1">
        <w:r w:rsidRPr="00803992">
          <w:rPr>
            <w:rFonts w:ascii="Times New Roman" w:eastAsia="Times New Roman" w:hAnsi="Times New Roman" w:cs="Times New Roman"/>
            <w:color w:val="1155CC"/>
            <w:kern w:val="0"/>
            <w:sz w:val="24"/>
            <w:szCs w:val="24"/>
            <w:u w:val="single"/>
            <w:lang w:val="en"/>
            <w14:ligatures w14:val="none"/>
          </w:rPr>
          <w:t>Contact Us</w:t>
        </w:r>
      </w:hyperlink>
    </w:p>
    <w:p w14:paraId="51A0655C" w14:textId="77777777" w:rsidR="00803992" w:rsidRPr="00803992" w:rsidRDefault="00803992" w:rsidP="00803992">
      <w:pPr>
        <w:shd w:val="clear" w:color="auto" w:fill="FFFFFF"/>
        <w:spacing w:before="100" w:beforeAutospacing="1" w:after="100" w:afterAutospacing="1" w:line="240" w:lineRule="auto"/>
        <w:jc w:val="center"/>
        <w:rPr>
          <w:rFonts w:ascii="Times New Roman" w:eastAsia="Times New Roman" w:hAnsi="Times New Roman" w:cs="Times New Roman"/>
          <w:color w:val="222222"/>
          <w:kern w:val="0"/>
          <w:sz w:val="24"/>
          <w:szCs w:val="24"/>
          <w14:ligatures w14:val="none"/>
        </w:rPr>
      </w:pPr>
      <w:r w:rsidRPr="00803992">
        <w:rPr>
          <w:rFonts w:ascii="Times New Roman" w:eastAsia="Times New Roman" w:hAnsi="Times New Roman" w:cs="Times New Roman"/>
          <w:color w:val="222222"/>
          <w:kern w:val="0"/>
          <w:sz w:val="24"/>
          <w:szCs w:val="24"/>
          <w:lang w:val="en"/>
          <w14:ligatures w14:val="none"/>
        </w:rPr>
        <w:t> </w:t>
      </w:r>
    </w:p>
    <w:p w14:paraId="115D6426" w14:textId="77777777" w:rsidR="00803992" w:rsidRPr="00803992" w:rsidRDefault="00803992" w:rsidP="00803992">
      <w:pPr>
        <w:shd w:val="clear" w:color="auto" w:fill="FFFFFF"/>
        <w:spacing w:before="100" w:beforeAutospacing="1" w:after="100" w:afterAutospacing="1" w:line="240" w:lineRule="auto"/>
        <w:jc w:val="center"/>
        <w:rPr>
          <w:rFonts w:ascii="Times New Roman" w:eastAsia="Times New Roman" w:hAnsi="Times New Roman" w:cs="Times New Roman"/>
          <w:color w:val="222222"/>
          <w:kern w:val="0"/>
          <w:sz w:val="24"/>
          <w:szCs w:val="24"/>
          <w14:ligatures w14:val="none"/>
        </w:rPr>
      </w:pPr>
      <w:r w:rsidRPr="00803992">
        <w:rPr>
          <w:rFonts w:ascii="Times New Roman" w:eastAsia="Times New Roman" w:hAnsi="Times New Roman" w:cs="Times New Roman"/>
          <w:color w:val="222222"/>
          <w:kern w:val="0"/>
          <w:sz w:val="24"/>
          <w:szCs w:val="24"/>
          <w:lang w:val="en"/>
          <w14:ligatures w14:val="none"/>
        </w:rPr>
        <w:t> </w:t>
      </w:r>
    </w:p>
    <w:p w14:paraId="45E44440"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F05D6"/>
    <w:multiLevelType w:val="multilevel"/>
    <w:tmpl w:val="25C6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068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92"/>
    <w:rsid w:val="002D4C78"/>
    <w:rsid w:val="0034427C"/>
    <w:rsid w:val="00423573"/>
    <w:rsid w:val="00644730"/>
    <w:rsid w:val="00803992"/>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C7A6"/>
  <w15:chartTrackingRefBased/>
  <w15:docId w15:val="{E5D0E2C2-8A8B-4123-9B07-8EB27D1A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0195">
      <w:bodyDiv w:val="1"/>
      <w:marLeft w:val="0"/>
      <w:marRight w:val="0"/>
      <w:marTop w:val="0"/>
      <w:marBottom w:val="0"/>
      <w:divBdr>
        <w:top w:val="none" w:sz="0" w:space="0" w:color="auto"/>
        <w:left w:val="none" w:sz="0" w:space="0" w:color="auto"/>
        <w:bottom w:val="none" w:sz="0" w:space="0" w:color="auto"/>
        <w:right w:val="none" w:sz="0" w:space="0" w:color="auto"/>
      </w:divBdr>
      <w:divsChild>
        <w:div w:id="543176590">
          <w:marLeft w:val="0"/>
          <w:marRight w:val="0"/>
          <w:marTop w:val="0"/>
          <w:marBottom w:val="0"/>
          <w:divBdr>
            <w:top w:val="none" w:sz="0" w:space="0" w:color="auto"/>
            <w:left w:val="none" w:sz="0" w:space="0" w:color="auto"/>
            <w:bottom w:val="none" w:sz="0" w:space="0" w:color="auto"/>
            <w:right w:val="none" w:sz="0" w:space="0" w:color="auto"/>
          </w:divBdr>
          <w:divsChild>
            <w:div w:id="1104105752">
              <w:marLeft w:val="0"/>
              <w:marRight w:val="0"/>
              <w:marTop w:val="0"/>
              <w:marBottom w:val="0"/>
              <w:divBdr>
                <w:top w:val="none" w:sz="0" w:space="0" w:color="auto"/>
                <w:left w:val="none" w:sz="0" w:space="0" w:color="auto"/>
                <w:bottom w:val="none" w:sz="0" w:space="0" w:color="auto"/>
                <w:right w:val="none" w:sz="0" w:space="0" w:color="auto"/>
              </w:divBdr>
            </w:div>
          </w:divsChild>
        </w:div>
        <w:div w:id="1861890959">
          <w:marLeft w:val="0"/>
          <w:marRight w:val="0"/>
          <w:marTop w:val="0"/>
          <w:marBottom w:val="0"/>
          <w:divBdr>
            <w:top w:val="none" w:sz="0" w:space="0" w:color="auto"/>
            <w:left w:val="none" w:sz="0" w:space="0" w:color="auto"/>
            <w:bottom w:val="none" w:sz="0" w:space="0" w:color="auto"/>
            <w:right w:val="none" w:sz="0" w:space="0" w:color="auto"/>
          </w:divBdr>
          <w:divsChild>
            <w:div w:id="1262301086">
              <w:marLeft w:val="0"/>
              <w:marRight w:val="0"/>
              <w:marTop w:val="0"/>
              <w:marBottom w:val="0"/>
              <w:divBdr>
                <w:top w:val="none" w:sz="0" w:space="0" w:color="auto"/>
                <w:left w:val="none" w:sz="0" w:space="0" w:color="auto"/>
                <w:bottom w:val="none" w:sz="0" w:space="0" w:color="auto"/>
                <w:right w:val="none" w:sz="0" w:space="0" w:color="auto"/>
              </w:divBdr>
            </w:div>
            <w:div w:id="11787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nVybCI6Imh0dHBzOi8vd3d3LmNvbnN1bWVyZmluYW5jZS5nb3YvP3V0bV9zb3VyY2U9bmV3c2xldHRlciZ1dG1fbWVkaXVtPWVtYWlsJnV0bV9jYW1wYWlnbj1EaXJlY3RfQWJvdXRVcyIsImJ1bGxldGluX2lkIjoiMjAyMzA1MDEuNzYwNDQ0NzEifQ.cSbhclKnHMqUNon0t0LBVMIn-C2l4sBOusJGuTYrma4/s/2465812177/br/171070868644-l" TargetMode="External"/><Relationship Id="rId13" Type="http://schemas.openxmlformats.org/officeDocument/2006/relationships/hyperlink" Target="https://lnks.gd/l/eyJhbGciOiJIUzI1NiJ9.eyJidWxsZXRpbl9saW5rX2lkIjoxMDUsInVyaSI6ImJwMjpjbGljayIsInVybCI6Imh0dHBzOi8vd3d3LmNvbnN1bWVyZmluYW5jZS5nb3YvYXNrLWNmcGIvP3V0bV9zb3VyY2U9bmV3c2xldHRlciZ1dG1fbWVkaXVtPWVtYWlsJnV0bV9jYW1wYWlnbj1EaXJlY3RfQWJvdXRVcyIsImJ1bGxldGluX2lkIjoiMjAyMzA1MDEuNzYwNDQ0NzEifQ.l1MixfzbUNx3pBvvz5Avm44pKAvw3Vzg94LL9kpFLpw/s/2465812177/br/171070868644-l" TargetMode="External"/><Relationship Id="rId18" Type="http://schemas.openxmlformats.org/officeDocument/2006/relationships/hyperlink" Target="https://lnks.gd/l/eyJhbGciOiJIUzI1NiJ9.eyJidWxsZXRpbl9saW5rX2lkIjoxMTAsInVyaSI6ImJwMjpjbGljayIsInVybCI6Imh0dHBzOi8vcHVibGljLmdvdmRlbGl2ZXJ5LmNvbS9hY2NvdW50cy9VU0NGUEIvc3Vic2NyaWJlci9lZGl0P3ByZWZlcmVuY2VzPXRydWUjdGFiMSIsImJ1bGxldGluX2lkIjoiMjAyMzA1MDEuNzYwNDQ0NzEifQ.jq16GYVPJsy-KLbDoDvRU07bMT_nwHuEn6FVLfNBnEU/s/2465812177/br/171070868644-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nks.gd/l/eyJhbGciOiJIUzI1NiJ9.eyJidWxsZXRpbl9saW5rX2lkIjoxMDEsInVyaSI6ImJwMjpjbGljayIsInVybCI6Imh0dHBzOi8vd3d3LmNvbnN1bWVyZmluYW5jZS5nb3YvYWJvdXQtdXMvYmxvZy9jcmVkaXQtcmVwb3J0aW5nLWNvbXBhbmllcy1zZXJ2aWNlbWVtYmVycy1yZWNlaXZlLWZyZWUtY3JlZGl0LW1vbml0b3JpbmctbGVnYWxseS1lbnRpdGxlZC10by8iLCJidWxsZXRpbl9pZCI6IjIwMjMwNTAxLjc2MDQ0NDcxIn0.l2YaaQsajqmTiud-3vpu6-kszB6QKw2IxBYX6ytvkPY/s/2465812177/br/171070868644-l" TargetMode="External"/><Relationship Id="rId12" Type="http://schemas.openxmlformats.org/officeDocument/2006/relationships/image" Target="media/image3.png"/><Relationship Id="rId17" Type="http://schemas.openxmlformats.org/officeDocument/2006/relationships/hyperlink" Target="https://lnks.gd/l/eyJhbGciOiJIUzI1NiJ9.eyJidWxsZXRpbl9saW5rX2lkIjoxMDksInVyaSI6ImJwMjpjbGljayIsInVybCI6Imh0dHBzOi8vcHVibGljLmdvdmRlbGl2ZXJ5LmNvbS9hY2NvdW50cy9VU0NGUEIvc3Vic2NyaWJlci9lZGl0P3ByZWZlcmVuY2VzPXRydWUjdGFiMSIsImJ1bGxldGluX2lkIjoiMjAyMzA1MDEuNzYwNDQ0NzEifQ.vv4zJAWcHcDrheQDvn5Lm5QTeRnVY-GUWGEaYdKzoyQ/s/2465812177/br/171070868644-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gsInVyaSI6ImJwMjpjbGljayIsInVybCI6Imh0dHBzOi8vd3d3LmNvbnN1bWVyZmluYW5jZS5nb3YvP3V0bV9zb3VyY2U9bmV3c2xldHRlciZ1dG1fbWVkaXVtPWVtYWlsIiwiYnVsbGV0aW5faWQiOiIyMDIzMDUwMS43NjA0NDQ3MSJ9.hGVYJO0-36LokPMZi-OFGVqQuqAxspMBFGa4gMkk68U/s/2465812177/br/171070868644-l" TargetMode="External"/><Relationship Id="rId20" Type="http://schemas.openxmlformats.org/officeDocument/2006/relationships/hyperlink" Target="https://lnks.gd/l/eyJhbGciOiJIUzI1NiJ9.eyJidWxsZXRpbl9saW5rX2lkIjoxMTIsInVyaSI6ImJwMjpjbGljayIsInVybCI6Imh0dHBzOi8vd3d3LmNvbnN1bWVyZmluYW5jZS5nb3YvYWJvdXQtdXMvY29udGFjdC11cy8_dXRtX3NvdXJjZT1uZXdzbGV0dGVyJnV0bV9tZWRpdW09ZW1haWwiLCJidWxsZXRpbl9pZCI6IjIwMjMwNTAxLjc2MDQ0NDcxIn0.8LMxPofxoHwnja9Nj6Z59xZFQ7V0Sh28mmr9ozMBwfs/s/2465812177/br/171070868644-l"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nVybCI6Imh0dHBzOi8vd3d3LmNvbnN1bWVyZmluYW5jZS5nb3YvYWJvdXQtdXMvYmxvZy9jcmVkaXQtcmVwb3J0aW5nLWNvbXBhbmllcy1zZXJ2aWNlbWVtYmVycy1yZWNlaXZlLWZyZWUtY3JlZGl0LW1vbml0b3JpbmctbGVnYWxseS1lbnRpdGxlZC10by8iLCJidWxsZXRpbl9pZCI6IjIwMjMwNTAxLjc2MDQ0NDcxIn0.YPSpq0a-1P_XI6FFwZJVMf0fSnqmPbrpsHR8ZDgySZs/s/2465812177/br/171070868644-l" TargetMode="External"/><Relationship Id="rId11" Type="http://schemas.openxmlformats.org/officeDocument/2006/relationships/hyperlink" Target="https://lnks.gd/l/eyJhbGciOiJIUzI1NiJ9.eyJidWxsZXRpbl9saW5rX2lkIjoxMDQsInVyaSI6ImJwMjpjbGljayIsInVybCI6Imh0dHBzOi8vd3d3LnR3aXR0ZXIuY29tL2NmcGIiLCJidWxsZXRpbl9pZCI6IjIwMjMwNTAxLjc2MDQ0NDcxIn0.qmwnaWcCCFmkn2jMsU9NUD03Y5zv2y9NZtxDwY8i9zE/s/2465812177/br/171070868644-l" TargetMode="External"/><Relationship Id="rId5" Type="http://schemas.openxmlformats.org/officeDocument/2006/relationships/image" Target="media/image1.png"/><Relationship Id="rId15" Type="http://schemas.openxmlformats.org/officeDocument/2006/relationships/hyperlink" Target="https://lnks.gd/l/eyJhbGciOiJIUzI1NiJ9.eyJidWxsZXRpbl9saW5rX2lkIjoxMDcsInVyaSI6ImJwMjpjbGljayIsInVybCI6Imh0dHBzOi8vd3d3LmNvbnN1bWVyZmluYW5jZS5nb3YvY29tcGxhaW50Lz91dG1fc291cmNlPW5ld3NsZXR0ZXImdXRtX21lZGl1bT1lbWFpbCZ1dG1fY2FtcGFpZ249RGlyZWN0X0Fib3V0VXMiLCJidWxsZXRpbl9pZCI6IjIwMjMwNTAxLjc2MDQ0NDcxIn0.SD2wYr176xmHZUfdot7MeKmlxRMLsrmlptQxTFaP4Ag/s/2465812177/br/171070868644-l" TargetMode="External"/><Relationship Id="rId10" Type="http://schemas.openxmlformats.org/officeDocument/2006/relationships/image" Target="media/image2.png"/><Relationship Id="rId19" Type="http://schemas.openxmlformats.org/officeDocument/2006/relationships/hyperlink" Target="https://lnks.gd/l/eyJhbGciOiJIUzI1NiJ9.eyJidWxsZXRpbl9saW5rX2lkIjoxMTEsInVyaSI6ImJwMjpjbGljayIsInVybCI6Imh0dHBzOi8vcHVibGljLmdvdmRlbGl2ZXJ5LmNvbS9hY2NvdW50cy9VU0NGUEIvc3Vic2NyaWJlci9lZGl0P3ByZWZlcmVuY2VzPXRydWUjdGFiMSIsImJ1bGxldGluX2lkIjoiMjAyMzA1MDEuNzYwNDQ0NzEifQ.ogPtiZgbcsllgCuq9vvq-vBIYwvzJB2H9Y-svNXGpI4/s/2465812177/br/171070868644-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nVybCI6Imh0dHA6Ly93d3cuZmFjZWJvb2suY29tL0NGUEIiLCJidWxsZXRpbl9pZCI6IjIwMjMwNTAxLjc2MDQ0NDcxIn0.py34IqbmQb5Kt-JuqZWpaeeUxUBtMjrw-DJemupnxmA/s/2465812177/br/171070868644-l" TargetMode="External"/><Relationship Id="rId14" Type="http://schemas.openxmlformats.org/officeDocument/2006/relationships/hyperlink" Target="https://lnks.gd/l/eyJhbGciOiJIUzI1NiJ9.eyJidWxsZXRpbl9saW5rX2lkIjoxMDYsInVyaSI6ImJwMjpjbGljayIsInVybCI6Imh0dHBzOi8vd3d3LmNvbnN1bWVyZmluYW5jZS5nb3YvYWJvdXQtdXMvYmxvZy8_dXRtX3NvdXJjZT1uZXdzbGV0dGVyJnV0bV9tZWRpdW09ZW1haWwmdXRtX2NhbXBhaWduPURpcmVjdF9BYm91dFVzIiwiYnVsbGV0aW5faWQiOiIyMDIzMDUwMS43NjA0NDQ3MSJ9.4FIPOO3vlblJ3UP002To3heGPTXlwC0_KB1T4cxcOYE/s/2465812177/br/171070868644-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2023-05-02T18:47:00Z</dcterms:created>
  <dcterms:modified xsi:type="dcterms:W3CDTF">2023-05-02T18:49:00Z</dcterms:modified>
</cp:coreProperties>
</file>