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EEEEEE"/>
        <w:tblCellMar>
          <w:left w:w="0" w:type="dxa"/>
          <w:right w:w="0" w:type="dxa"/>
        </w:tblCellMar>
        <w:tblLook w:val="04A0" w:firstRow="1" w:lastRow="0" w:firstColumn="1" w:lastColumn="0" w:noHBand="0" w:noVBand="1"/>
      </w:tblPr>
      <w:tblGrid>
        <w:gridCol w:w="9360"/>
      </w:tblGrid>
      <w:tr w:rsidR="00ED154B" w:rsidRPr="00ED154B" w14:paraId="220167AB" w14:textId="77777777" w:rsidTr="00ED154B">
        <w:trPr>
          <w:tblCellSpacing w:w="0"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3A5A7C1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44"/>
                  </w:tblGrid>
                  <w:tr w:rsidR="00ED154B" w:rsidRPr="00ED154B" w14:paraId="6019A3DA" w14:textId="77777777">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14"/>
                        </w:tblGrid>
                        <w:tr w:rsidR="00ED154B" w:rsidRPr="00ED154B" w14:paraId="2BF2E04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14"/>
                              </w:tblGrid>
                              <w:tr w:rsidR="00ED154B" w:rsidRPr="00ED154B" w14:paraId="3FF513F5" w14:textId="77777777">
                                <w:trPr>
                                  <w:tblCellSpacing w:w="0" w:type="dxa"/>
                                </w:trPr>
                                <w:tc>
                                  <w:tcPr>
                                    <w:tcW w:w="0" w:type="auto"/>
                                    <w:tcMar>
                                      <w:top w:w="240" w:type="dxa"/>
                                      <w:left w:w="1815" w:type="dxa"/>
                                      <w:bottom w:w="240" w:type="dxa"/>
                                      <w:right w:w="1815" w:type="dxa"/>
                                    </w:tcMar>
                                    <w:hideMark/>
                                  </w:tcPr>
                                  <w:p w14:paraId="7A3E37F1" w14:textId="77777777" w:rsidR="00ED154B" w:rsidRPr="00ED154B" w:rsidRDefault="00ED154B" w:rsidP="00ED154B">
                                    <w:pPr>
                                      <w:spacing w:after="0" w:line="240" w:lineRule="auto"/>
                                      <w:jc w:val="center"/>
                                      <w:rPr>
                                        <w:rFonts w:ascii="Arial" w:eastAsia="Times New Roman" w:hAnsi="Arial" w:cs="Arial"/>
                                        <w:sz w:val="18"/>
                                        <w:szCs w:val="18"/>
                                      </w:rPr>
                                    </w:pPr>
                                    <w:r w:rsidRPr="00ED154B">
                                      <w:rPr>
                                        <w:rFonts w:ascii="Arial" w:eastAsia="Times New Roman" w:hAnsi="Arial" w:cs="Arial"/>
                                        <w:b/>
                                        <w:bCs/>
                                        <w:noProof/>
                                        <w:color w:val="EB6851"/>
                                        <w:sz w:val="18"/>
                                        <w:szCs w:val="18"/>
                                      </w:rPr>
                                      <w:drawing>
                                        <wp:inline distT="0" distB="0" distL="0" distR="0" wp14:anchorId="110A9700" wp14:editId="5E4F9764">
                                          <wp:extent cx="3774440" cy="772160"/>
                                          <wp:effectExtent l="0" t="0" r="0" b="8890"/>
                                          <wp:docPr id="1" name="Picture 1" descr="UR Head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Heade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4440" cy="772160"/>
                                                  </a:xfrm>
                                                  <a:prstGeom prst="rect">
                                                    <a:avLst/>
                                                  </a:prstGeom>
                                                  <a:noFill/>
                                                  <a:ln>
                                                    <a:noFill/>
                                                  </a:ln>
                                                </pic:spPr>
                                              </pic:pic>
                                            </a:graphicData>
                                          </a:graphic>
                                        </wp:inline>
                                      </w:drawing>
                                    </w:r>
                                  </w:p>
                                </w:tc>
                              </w:tr>
                            </w:tbl>
                            <w:p w14:paraId="380B7E23" w14:textId="77777777" w:rsidR="00ED154B" w:rsidRPr="00ED154B" w:rsidRDefault="00ED154B" w:rsidP="00ED154B">
                              <w:pPr>
                                <w:spacing w:after="0" w:line="240" w:lineRule="auto"/>
                                <w:rPr>
                                  <w:rFonts w:ascii="Arial" w:eastAsia="Times New Roman" w:hAnsi="Arial" w:cs="Arial"/>
                                  <w:sz w:val="18"/>
                                  <w:szCs w:val="18"/>
                                </w:rPr>
                              </w:pPr>
                            </w:p>
                          </w:tc>
                        </w:tr>
                      </w:tbl>
                      <w:p w14:paraId="1F92DC49" w14:textId="77777777" w:rsidR="00ED154B" w:rsidRPr="00ED154B" w:rsidRDefault="00ED154B" w:rsidP="00ED154B">
                        <w:pPr>
                          <w:spacing w:after="0" w:line="240" w:lineRule="auto"/>
                          <w:rPr>
                            <w:rFonts w:ascii="Arial" w:eastAsia="Times New Roman" w:hAnsi="Arial" w:cs="Arial"/>
                            <w:sz w:val="18"/>
                            <w:szCs w:val="18"/>
                          </w:rPr>
                        </w:pPr>
                      </w:p>
                    </w:tc>
                  </w:tr>
                </w:tbl>
                <w:p w14:paraId="52AFB909" w14:textId="77777777" w:rsidR="00ED154B" w:rsidRPr="00ED154B" w:rsidRDefault="00ED154B" w:rsidP="00ED154B">
                  <w:pPr>
                    <w:spacing w:after="0" w:line="240" w:lineRule="auto"/>
                    <w:rPr>
                      <w:rFonts w:ascii="Arial" w:eastAsia="Times New Roman" w:hAnsi="Arial" w:cs="Arial"/>
                      <w:sz w:val="18"/>
                      <w:szCs w:val="18"/>
                    </w:rPr>
                  </w:pPr>
                </w:p>
              </w:tc>
            </w:tr>
          </w:tbl>
          <w:p w14:paraId="3C584950" w14:textId="77777777" w:rsidR="00ED154B" w:rsidRPr="00ED154B" w:rsidRDefault="00ED154B" w:rsidP="00ED154B">
            <w:pPr>
              <w:spacing w:after="0" w:line="240" w:lineRule="auto"/>
              <w:rPr>
                <w:rFonts w:ascii="Arial" w:eastAsia="Times New Roman" w:hAnsi="Arial" w:cs="Arial"/>
                <w:color w:val="222222"/>
                <w:sz w:val="18"/>
                <w:szCs w:val="18"/>
              </w:rPr>
            </w:pPr>
          </w:p>
        </w:tc>
      </w:tr>
    </w:tbl>
    <w:p w14:paraId="2AF2CA4A" w14:textId="77777777" w:rsidR="00ED154B" w:rsidRPr="00ED154B" w:rsidRDefault="00ED154B" w:rsidP="00ED154B">
      <w:pPr>
        <w:shd w:val="clear" w:color="auto" w:fill="EEEEEE"/>
        <w:spacing w:after="0" w:line="240" w:lineRule="auto"/>
        <w:rPr>
          <w:rFonts w:ascii="Arial" w:eastAsia="Times New Roman" w:hAnsi="Arial" w:cs="Arial"/>
          <w:vanish/>
          <w:color w:val="222222"/>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01A42420" w14:textId="77777777" w:rsidTr="00ED154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5CD4B62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2932AEF3" w14:textId="77777777">
                    <w:trPr>
                      <w:tblCellSpacing w:w="0" w:type="dxa"/>
                    </w:trPr>
                    <w:tc>
                      <w:tcPr>
                        <w:tcW w:w="0" w:type="auto"/>
                        <w:tcMar>
                          <w:top w:w="300" w:type="dxa"/>
                          <w:left w:w="300" w:type="dxa"/>
                          <w:bottom w:w="75" w:type="dxa"/>
                          <w:right w:w="300" w:type="dxa"/>
                        </w:tcMar>
                        <w:hideMark/>
                      </w:tcPr>
                      <w:p w14:paraId="3F473114" w14:textId="77777777" w:rsidR="00ED154B" w:rsidRPr="00ED154B" w:rsidRDefault="00ED154B" w:rsidP="00ED154B">
                        <w:pPr>
                          <w:spacing w:after="150" w:line="240" w:lineRule="auto"/>
                          <w:jc w:val="center"/>
                          <w:divId w:val="1546529014"/>
                          <w:rPr>
                            <w:rFonts w:ascii="Arial" w:eastAsia="Times New Roman" w:hAnsi="Arial" w:cs="Arial"/>
                            <w:color w:val="00467F"/>
                            <w:sz w:val="24"/>
                            <w:szCs w:val="24"/>
                          </w:rPr>
                        </w:pPr>
                        <w:r w:rsidRPr="00ED154B">
                          <w:rPr>
                            <w:rFonts w:ascii="Arial" w:eastAsia="Times New Roman" w:hAnsi="Arial" w:cs="Arial"/>
                            <w:b/>
                            <w:bCs/>
                            <w:color w:val="182958"/>
                            <w:sz w:val="36"/>
                            <w:szCs w:val="36"/>
                          </w:rPr>
                          <w:t>REAL Conversations |</w:t>
                        </w:r>
                        <w:r w:rsidRPr="00ED154B">
                          <w:rPr>
                            <w:rFonts w:ascii="Arial" w:eastAsia="Times New Roman" w:hAnsi="Arial" w:cs="Arial"/>
                            <w:b/>
                            <w:bCs/>
                            <w:color w:val="182958"/>
                            <w:sz w:val="36"/>
                            <w:szCs w:val="36"/>
                          </w:rPr>
                          <w:br/>
                          <w:t>Understanding White Supremacy:</w:t>
                        </w:r>
                        <w:r w:rsidRPr="00ED154B">
                          <w:rPr>
                            <w:rFonts w:ascii="Arial" w:eastAsia="Times New Roman" w:hAnsi="Arial" w:cs="Arial"/>
                            <w:b/>
                            <w:bCs/>
                            <w:color w:val="182958"/>
                            <w:sz w:val="36"/>
                            <w:szCs w:val="36"/>
                          </w:rPr>
                          <w:br/>
                          <w:t>Decoding the Actions of the White Power Movement</w:t>
                        </w:r>
                        <w:r w:rsidRPr="00ED154B">
                          <w:rPr>
                            <w:rFonts w:ascii="Arial" w:eastAsia="Times New Roman" w:hAnsi="Arial" w:cs="Arial"/>
                            <w:color w:val="182958"/>
                            <w:sz w:val="30"/>
                            <w:szCs w:val="30"/>
                          </w:rPr>
                          <w:br/>
                          <w:t>Wednesday, November 30</w:t>
                        </w:r>
                        <w:r w:rsidRPr="00ED154B">
                          <w:rPr>
                            <w:rFonts w:ascii="Arial" w:eastAsia="Times New Roman" w:hAnsi="Arial" w:cs="Arial"/>
                            <w:color w:val="182958"/>
                            <w:sz w:val="30"/>
                            <w:szCs w:val="30"/>
                          </w:rPr>
                          <w:br/>
                          <w:t>6–7:30 p.m. (ET)</w:t>
                        </w:r>
                        <w:r w:rsidRPr="00ED154B">
                          <w:rPr>
                            <w:rFonts w:ascii="Arial" w:eastAsia="Times New Roman" w:hAnsi="Arial" w:cs="Arial"/>
                            <w:color w:val="182958"/>
                            <w:sz w:val="30"/>
                            <w:szCs w:val="30"/>
                          </w:rPr>
                          <w:br/>
                        </w:r>
                        <w:r w:rsidRPr="00ED154B">
                          <w:rPr>
                            <w:rFonts w:ascii="Arial" w:eastAsia="Times New Roman" w:hAnsi="Arial" w:cs="Arial"/>
                            <w:i/>
                            <w:iCs/>
                            <w:color w:val="182958"/>
                            <w:sz w:val="30"/>
                            <w:szCs w:val="30"/>
                          </w:rPr>
                          <w:t>Virtual Event</w:t>
                        </w:r>
                      </w:p>
                    </w:tc>
                  </w:tr>
                </w:tbl>
                <w:p w14:paraId="186E5C39" w14:textId="77777777" w:rsidR="00ED154B" w:rsidRPr="00ED154B" w:rsidRDefault="00ED154B" w:rsidP="00ED154B">
                  <w:pPr>
                    <w:spacing w:after="0" w:line="240" w:lineRule="auto"/>
                    <w:rPr>
                      <w:rFonts w:ascii="Arial" w:eastAsia="Times New Roman" w:hAnsi="Arial" w:cs="Arial"/>
                      <w:sz w:val="18"/>
                      <w:szCs w:val="18"/>
                    </w:rPr>
                  </w:pPr>
                </w:p>
              </w:tc>
            </w:tr>
          </w:tbl>
          <w:p w14:paraId="675D8A0D" w14:textId="77777777" w:rsidR="00ED154B" w:rsidRPr="00ED154B" w:rsidRDefault="00ED154B" w:rsidP="00ED15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53B866F6" w14:textId="77777777">
              <w:trPr>
                <w:tblCellSpacing w:w="0" w:type="dxa"/>
              </w:trPr>
              <w:tc>
                <w:tcPr>
                  <w:tcW w:w="0" w:type="auto"/>
                  <w:tcMar>
                    <w:top w:w="0" w:type="dxa"/>
                    <w:left w:w="0" w:type="dxa"/>
                    <w:bottom w:w="75" w:type="dxa"/>
                    <w:right w:w="0" w:type="dxa"/>
                  </w:tcMar>
                  <w:vAlign w:val="center"/>
                  <w:hideMark/>
                </w:tcPr>
                <w:p w14:paraId="0A860D49" w14:textId="77777777" w:rsidR="00ED154B" w:rsidRPr="00ED154B" w:rsidRDefault="00ED154B" w:rsidP="00ED154B">
                  <w:pPr>
                    <w:spacing w:after="0" w:line="240" w:lineRule="auto"/>
                    <w:rPr>
                      <w:rFonts w:ascii="Arial" w:eastAsia="Times New Roman" w:hAnsi="Arial" w:cs="Arial"/>
                      <w:sz w:val="18"/>
                      <w:szCs w:val="18"/>
                    </w:rPr>
                  </w:pPr>
                </w:p>
              </w:tc>
            </w:tr>
            <w:tr w:rsidR="00ED154B" w:rsidRPr="00ED154B" w14:paraId="015ECBE9"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ED154B" w:rsidRPr="00ED154B" w14:paraId="1AA621B1"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ED154B" w:rsidRPr="00ED154B" w14:paraId="2032B7F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ED154B" w:rsidRPr="00ED154B" w14:paraId="5613D78C" w14:textId="77777777">
                                <w:trPr>
                                  <w:tblCellSpacing w:w="0" w:type="dxa"/>
                                </w:trPr>
                                <w:tc>
                                  <w:tcPr>
                                    <w:tcW w:w="0" w:type="auto"/>
                                    <w:tcMar>
                                      <w:top w:w="150" w:type="dxa"/>
                                      <w:left w:w="2805" w:type="dxa"/>
                                      <w:bottom w:w="150" w:type="dxa"/>
                                      <w:right w:w="2805" w:type="dxa"/>
                                    </w:tcMar>
                                    <w:hideMark/>
                                  </w:tcPr>
                                  <w:p w14:paraId="6452C31B" w14:textId="77777777" w:rsidR="00ED154B" w:rsidRPr="00ED154B" w:rsidRDefault="00ED154B" w:rsidP="00ED154B">
                                    <w:pPr>
                                      <w:spacing w:after="0" w:line="240" w:lineRule="auto"/>
                                      <w:jc w:val="center"/>
                                      <w:rPr>
                                        <w:rFonts w:ascii="Arial" w:eastAsia="Times New Roman" w:hAnsi="Arial" w:cs="Arial"/>
                                        <w:sz w:val="18"/>
                                        <w:szCs w:val="18"/>
                                      </w:rPr>
                                    </w:pPr>
                                    <w:r w:rsidRPr="00ED154B">
                                      <w:rPr>
                                        <w:rFonts w:ascii="Arial" w:eastAsia="Times New Roman" w:hAnsi="Arial" w:cs="Arial"/>
                                        <w:noProof/>
                                        <w:sz w:val="18"/>
                                        <w:szCs w:val="18"/>
                                      </w:rPr>
                                      <w:drawing>
                                        <wp:inline distT="0" distB="0" distL="0" distR="0" wp14:anchorId="2E6FCC1B" wp14:editId="11F5F1D7">
                                          <wp:extent cx="2438400" cy="3647440"/>
                                          <wp:effectExtent l="0" t="0" r="0" b="0"/>
                                          <wp:docPr id="2" name="Picture 2" descr="Headshot of guest speaker Kathleen Belew,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 of guest speaker Kathleen Belew, Ph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3647440"/>
                                                  </a:xfrm>
                                                  <a:prstGeom prst="rect">
                                                    <a:avLst/>
                                                  </a:prstGeom>
                                                  <a:noFill/>
                                                  <a:ln>
                                                    <a:noFill/>
                                                  </a:ln>
                                                </pic:spPr>
                                              </pic:pic>
                                            </a:graphicData>
                                          </a:graphic>
                                        </wp:inline>
                                      </w:drawing>
                                    </w:r>
                                  </w:p>
                                </w:tc>
                              </w:tr>
                            </w:tbl>
                            <w:p w14:paraId="5240EF8C" w14:textId="77777777" w:rsidR="00ED154B" w:rsidRPr="00ED154B" w:rsidRDefault="00ED154B" w:rsidP="00ED154B">
                              <w:pPr>
                                <w:spacing w:after="0" w:line="240" w:lineRule="auto"/>
                                <w:rPr>
                                  <w:rFonts w:ascii="Arial" w:eastAsia="Times New Roman" w:hAnsi="Arial" w:cs="Arial"/>
                                  <w:sz w:val="18"/>
                                  <w:szCs w:val="18"/>
                                </w:rPr>
                              </w:pPr>
                            </w:p>
                          </w:tc>
                        </w:tr>
                      </w:tbl>
                      <w:p w14:paraId="54C813A2" w14:textId="77777777" w:rsidR="00ED154B" w:rsidRPr="00ED154B" w:rsidRDefault="00ED154B" w:rsidP="00ED154B">
                        <w:pPr>
                          <w:spacing w:after="0" w:line="240" w:lineRule="auto"/>
                          <w:rPr>
                            <w:rFonts w:ascii="Arial" w:eastAsia="Times New Roman" w:hAnsi="Arial" w:cs="Arial"/>
                            <w:sz w:val="18"/>
                            <w:szCs w:val="18"/>
                          </w:rPr>
                        </w:pPr>
                      </w:p>
                    </w:tc>
                  </w:tr>
                </w:tbl>
                <w:p w14:paraId="72675618" w14:textId="77777777" w:rsidR="00ED154B" w:rsidRPr="00ED154B" w:rsidRDefault="00ED154B" w:rsidP="00ED154B">
                  <w:pPr>
                    <w:spacing w:after="0" w:line="240" w:lineRule="auto"/>
                    <w:rPr>
                      <w:rFonts w:ascii="Arial" w:eastAsia="Times New Roman" w:hAnsi="Arial" w:cs="Arial"/>
                      <w:sz w:val="18"/>
                      <w:szCs w:val="18"/>
                    </w:rPr>
                  </w:pPr>
                </w:p>
              </w:tc>
            </w:tr>
          </w:tbl>
          <w:p w14:paraId="2CC1606B" w14:textId="77777777" w:rsidR="00ED154B" w:rsidRPr="00ED154B" w:rsidRDefault="00ED154B" w:rsidP="00ED15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54E6506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44A1CBE8" w14:textId="77777777">
                    <w:trPr>
                      <w:tblCellSpacing w:w="0" w:type="dxa"/>
                    </w:trPr>
                    <w:tc>
                      <w:tcPr>
                        <w:tcW w:w="0" w:type="auto"/>
                        <w:tcMar>
                          <w:top w:w="75" w:type="dxa"/>
                          <w:left w:w="225" w:type="dxa"/>
                          <w:bottom w:w="0" w:type="dxa"/>
                          <w:right w:w="225" w:type="dxa"/>
                        </w:tcMar>
                        <w:hideMark/>
                      </w:tcPr>
                      <w:p w14:paraId="119CBA3F" w14:textId="77777777" w:rsidR="00ED154B" w:rsidRPr="00ED154B" w:rsidRDefault="00ED154B" w:rsidP="00ED154B">
                        <w:pPr>
                          <w:spacing w:after="240" w:line="240" w:lineRule="auto"/>
                          <w:jc w:val="center"/>
                          <w:rPr>
                            <w:rFonts w:ascii="Arial" w:eastAsia="Times New Roman" w:hAnsi="Arial" w:cs="Arial"/>
                            <w:color w:val="00467F"/>
                            <w:sz w:val="24"/>
                            <w:szCs w:val="24"/>
                          </w:rPr>
                        </w:pPr>
                        <w:r w:rsidRPr="00ED154B">
                          <w:rPr>
                            <w:rFonts w:ascii="Arial" w:eastAsia="Times New Roman" w:hAnsi="Arial" w:cs="Arial"/>
                            <w:i/>
                            <w:iCs/>
                            <w:color w:val="182958"/>
                            <w:sz w:val="24"/>
                            <w:szCs w:val="24"/>
                          </w:rPr>
                          <w:t>Presented by the </w:t>
                        </w:r>
                        <w:hyperlink r:id="rId7" w:tgtFrame="_blank" w:history="1">
                          <w:r w:rsidRPr="00ED154B">
                            <w:rPr>
                              <w:rFonts w:ascii="Arial" w:eastAsia="Times New Roman" w:hAnsi="Arial" w:cs="Arial"/>
                              <w:b/>
                              <w:bCs/>
                              <w:i/>
                              <w:iCs/>
                              <w:color w:val="00B2E2"/>
                              <w:sz w:val="24"/>
                              <w:szCs w:val="24"/>
                              <w:u w:val="single"/>
                            </w:rPr>
                            <w:t>Office of Alumni Relations and Constituent Engagement</w:t>
                          </w:r>
                        </w:hyperlink>
                        <w:r w:rsidRPr="00ED154B">
                          <w:rPr>
                            <w:rFonts w:ascii="Arial" w:eastAsia="Times New Roman" w:hAnsi="Arial" w:cs="Arial"/>
                            <w:i/>
                            <w:iCs/>
                            <w:color w:val="182958"/>
                            <w:sz w:val="24"/>
                            <w:szCs w:val="24"/>
                          </w:rPr>
                          <w:t>, in partnership with the </w:t>
                        </w:r>
                        <w:hyperlink r:id="rId8" w:tgtFrame="_blank" w:history="1">
                          <w:r w:rsidRPr="00ED154B">
                            <w:rPr>
                              <w:rFonts w:ascii="Arial" w:eastAsia="Times New Roman" w:hAnsi="Arial" w:cs="Arial"/>
                              <w:b/>
                              <w:bCs/>
                              <w:i/>
                              <w:iCs/>
                              <w:color w:val="00B2E2"/>
                              <w:sz w:val="24"/>
                              <w:szCs w:val="24"/>
                              <w:u w:val="single"/>
                            </w:rPr>
                            <w:t>Frederick Douglass Institute &amp; Department of Black Studies</w:t>
                          </w:r>
                        </w:hyperlink>
                        <w:r w:rsidRPr="00ED154B">
                          <w:rPr>
                            <w:rFonts w:ascii="Arial" w:eastAsia="Times New Roman" w:hAnsi="Arial" w:cs="Arial"/>
                            <w:i/>
                            <w:iCs/>
                            <w:color w:val="182958"/>
                            <w:sz w:val="24"/>
                            <w:szCs w:val="24"/>
                          </w:rPr>
                          <w:t>, the </w:t>
                        </w:r>
                        <w:hyperlink r:id="rId9" w:tgtFrame="_blank" w:history="1">
                          <w:r w:rsidRPr="00ED154B">
                            <w:rPr>
                              <w:rFonts w:ascii="Arial" w:eastAsia="Times New Roman" w:hAnsi="Arial" w:cs="Arial"/>
                              <w:b/>
                              <w:bCs/>
                              <w:i/>
                              <w:iCs/>
                              <w:color w:val="00B2E2"/>
                              <w:sz w:val="24"/>
                              <w:szCs w:val="24"/>
                              <w:u w:val="single"/>
                            </w:rPr>
                            <w:t>Diversity Advisory Council</w:t>
                          </w:r>
                        </w:hyperlink>
                        <w:r w:rsidRPr="00ED154B">
                          <w:rPr>
                            <w:rFonts w:ascii="Arial" w:eastAsia="Times New Roman" w:hAnsi="Arial" w:cs="Arial"/>
                            <w:i/>
                            <w:iCs/>
                            <w:color w:val="182958"/>
                            <w:sz w:val="24"/>
                            <w:szCs w:val="24"/>
                          </w:rPr>
                          <w:t>, the </w:t>
                        </w:r>
                        <w:hyperlink r:id="rId10" w:tgtFrame="_blank" w:history="1">
                          <w:r w:rsidRPr="00ED154B">
                            <w:rPr>
                              <w:rFonts w:ascii="Arial" w:eastAsia="Times New Roman" w:hAnsi="Arial" w:cs="Arial"/>
                              <w:b/>
                              <w:bCs/>
                              <w:i/>
                              <w:iCs/>
                              <w:color w:val="00B2E2"/>
                              <w:sz w:val="24"/>
                              <w:szCs w:val="24"/>
                              <w:u w:val="single"/>
                            </w:rPr>
                            <w:t xml:space="preserve">University Equity and Inclusion </w:t>
                          </w:r>
                          <w:r w:rsidRPr="00ED154B">
                            <w:rPr>
                              <w:rFonts w:ascii="Arial" w:eastAsia="Times New Roman" w:hAnsi="Arial" w:cs="Arial"/>
                              <w:b/>
                              <w:bCs/>
                              <w:i/>
                              <w:iCs/>
                              <w:color w:val="00B2E2"/>
                              <w:sz w:val="24"/>
                              <w:szCs w:val="24"/>
                              <w:u w:val="single"/>
                            </w:rPr>
                            <w:lastRenderedPageBreak/>
                            <w:t>Office</w:t>
                          </w:r>
                        </w:hyperlink>
                        <w:r w:rsidRPr="00ED154B">
                          <w:rPr>
                            <w:rFonts w:ascii="Arial" w:eastAsia="Times New Roman" w:hAnsi="Arial" w:cs="Arial"/>
                            <w:i/>
                            <w:iCs/>
                            <w:color w:val="182958"/>
                            <w:sz w:val="24"/>
                            <w:szCs w:val="24"/>
                          </w:rPr>
                          <w:t>, </w:t>
                        </w:r>
                        <w:hyperlink r:id="rId11" w:tgtFrame="_blank" w:history="1">
                          <w:r w:rsidRPr="00ED154B">
                            <w:rPr>
                              <w:rFonts w:ascii="Arial" w:eastAsia="Times New Roman" w:hAnsi="Arial" w:cs="Arial"/>
                              <w:b/>
                              <w:bCs/>
                              <w:i/>
                              <w:iCs/>
                              <w:color w:val="00B2E2"/>
                              <w:sz w:val="24"/>
                              <w:szCs w:val="24"/>
                              <w:u w:val="single"/>
                            </w:rPr>
                            <w:t>School of Medicine and Dentistry</w:t>
                          </w:r>
                        </w:hyperlink>
                        <w:r w:rsidRPr="00ED154B">
                          <w:rPr>
                            <w:rFonts w:ascii="Arial" w:eastAsia="Times New Roman" w:hAnsi="Arial" w:cs="Arial"/>
                            <w:i/>
                            <w:iCs/>
                            <w:color w:val="182958"/>
                            <w:sz w:val="24"/>
                            <w:szCs w:val="24"/>
                          </w:rPr>
                          <w:t>, and the </w:t>
                        </w:r>
                        <w:hyperlink r:id="rId12" w:tgtFrame="_blank" w:history="1">
                          <w:r w:rsidRPr="00ED154B">
                            <w:rPr>
                              <w:rFonts w:ascii="Arial" w:eastAsia="Times New Roman" w:hAnsi="Arial" w:cs="Arial"/>
                              <w:b/>
                              <w:bCs/>
                              <w:i/>
                              <w:iCs/>
                              <w:color w:val="00B2E2"/>
                              <w:sz w:val="24"/>
                              <w:szCs w:val="24"/>
                              <w:u w:val="single"/>
                            </w:rPr>
                            <w:t>Institutional Office of Equity and Inclusion</w:t>
                          </w:r>
                        </w:hyperlink>
                        <w:r w:rsidRPr="00ED154B">
                          <w:rPr>
                            <w:rFonts w:ascii="Arial" w:eastAsia="Times New Roman" w:hAnsi="Arial" w:cs="Arial"/>
                            <w:i/>
                            <w:iCs/>
                            <w:color w:val="182958"/>
                            <w:sz w:val="24"/>
                            <w:szCs w:val="24"/>
                          </w:rPr>
                          <w:t>.</w:t>
                        </w:r>
                      </w:p>
                    </w:tc>
                  </w:tr>
                </w:tbl>
                <w:p w14:paraId="0E184A47" w14:textId="77777777" w:rsidR="00ED154B" w:rsidRPr="00ED154B" w:rsidRDefault="00ED154B" w:rsidP="00ED154B">
                  <w:pPr>
                    <w:spacing w:after="0" w:line="240" w:lineRule="auto"/>
                    <w:rPr>
                      <w:rFonts w:ascii="Arial" w:eastAsia="Times New Roman" w:hAnsi="Arial" w:cs="Arial"/>
                      <w:sz w:val="18"/>
                      <w:szCs w:val="18"/>
                    </w:rPr>
                  </w:pPr>
                </w:p>
              </w:tc>
            </w:tr>
          </w:tbl>
          <w:p w14:paraId="22A815C7" w14:textId="77777777" w:rsidR="00ED154B" w:rsidRPr="00ED154B" w:rsidRDefault="00ED154B" w:rsidP="00ED15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5DE267F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4666109A" w14:textId="77777777">
                    <w:trPr>
                      <w:tblCellSpacing w:w="0" w:type="dxa"/>
                    </w:trPr>
                    <w:tc>
                      <w:tcPr>
                        <w:tcW w:w="0" w:type="auto"/>
                        <w:tcMar>
                          <w:top w:w="75" w:type="dxa"/>
                          <w:left w:w="225" w:type="dxa"/>
                          <w:bottom w:w="0" w:type="dxa"/>
                          <w:right w:w="225" w:type="dxa"/>
                        </w:tcMar>
                        <w:hideMark/>
                      </w:tcPr>
                      <w:p w14:paraId="25584544" w14:textId="77777777" w:rsidR="00ED154B" w:rsidRPr="00ED154B" w:rsidRDefault="00ED154B" w:rsidP="00ED154B">
                        <w:pPr>
                          <w:spacing w:after="150" w:line="240" w:lineRule="auto"/>
                          <w:rPr>
                            <w:rFonts w:ascii="Arial" w:eastAsia="Times New Roman" w:hAnsi="Arial" w:cs="Arial"/>
                            <w:color w:val="00467F"/>
                            <w:sz w:val="24"/>
                            <w:szCs w:val="24"/>
                          </w:rPr>
                        </w:pPr>
                        <w:r w:rsidRPr="00ED154B">
                          <w:rPr>
                            <w:rFonts w:ascii="Arial" w:eastAsia="Times New Roman" w:hAnsi="Arial" w:cs="Arial"/>
                            <w:color w:val="182958"/>
                            <w:sz w:val="24"/>
                            <w:szCs w:val="24"/>
                          </w:rPr>
                          <w:t>Join </w:t>
                        </w:r>
                        <w:r w:rsidRPr="00ED154B">
                          <w:rPr>
                            <w:rFonts w:ascii="Arial" w:eastAsia="Times New Roman" w:hAnsi="Arial" w:cs="Arial"/>
                            <w:b/>
                            <w:bCs/>
                            <w:color w:val="182958"/>
                            <w:sz w:val="24"/>
                            <w:szCs w:val="24"/>
                          </w:rPr>
                          <w:t xml:space="preserve">Kathleen </w:t>
                        </w:r>
                        <w:proofErr w:type="spellStart"/>
                        <w:r w:rsidRPr="00ED154B">
                          <w:rPr>
                            <w:rFonts w:ascii="Arial" w:eastAsia="Times New Roman" w:hAnsi="Arial" w:cs="Arial"/>
                            <w:b/>
                            <w:bCs/>
                            <w:color w:val="182958"/>
                            <w:sz w:val="24"/>
                            <w:szCs w:val="24"/>
                          </w:rPr>
                          <w:t>Belew</w:t>
                        </w:r>
                        <w:proofErr w:type="spellEnd"/>
                        <w:r w:rsidRPr="00ED154B">
                          <w:rPr>
                            <w:rFonts w:ascii="Arial" w:eastAsia="Times New Roman" w:hAnsi="Arial" w:cs="Arial"/>
                            <w:b/>
                            <w:bCs/>
                            <w:color w:val="182958"/>
                            <w:sz w:val="24"/>
                            <w:szCs w:val="24"/>
                          </w:rPr>
                          <w:t>, PhD</w:t>
                        </w:r>
                        <w:r w:rsidRPr="00ED154B">
                          <w:rPr>
                            <w:rFonts w:ascii="Arial" w:eastAsia="Times New Roman" w:hAnsi="Arial" w:cs="Arial"/>
                            <w:color w:val="182958"/>
                            <w:sz w:val="24"/>
                            <w:szCs w:val="24"/>
                          </w:rPr>
                          <w:t>, leading historian studying the white power movement and associate professor of History at Northwestern University, for her presentation, “Understanding White Supremacy: Decoding the Actions of the White Power Movement.”</w:t>
                        </w:r>
                        <w:r w:rsidRPr="00ED154B">
                          <w:rPr>
                            <w:rFonts w:ascii="Arial" w:eastAsia="Times New Roman" w:hAnsi="Arial" w:cs="Arial"/>
                            <w:color w:val="182958"/>
                            <w:sz w:val="24"/>
                            <w:szCs w:val="24"/>
                          </w:rPr>
                          <w:br/>
                        </w:r>
                        <w:r w:rsidRPr="00ED154B">
                          <w:rPr>
                            <w:rFonts w:ascii="Arial" w:eastAsia="Times New Roman" w:hAnsi="Arial" w:cs="Arial"/>
                            <w:color w:val="182958"/>
                            <w:sz w:val="24"/>
                            <w:szCs w:val="24"/>
                          </w:rPr>
                          <w:br/>
                          <w:t>Replacement theory has a long history in the organized white power movement, which has used it to unify activists around social issues and for violent purposes. This presentation reviews this history and asks what danger the surge of such ideas in our political and media mainstream poses to free elections and American institutions.</w:t>
                        </w:r>
                        <w:r w:rsidRPr="00ED154B">
                          <w:rPr>
                            <w:rFonts w:ascii="Arial" w:eastAsia="Times New Roman" w:hAnsi="Arial" w:cs="Arial"/>
                            <w:color w:val="182958"/>
                            <w:sz w:val="24"/>
                            <w:szCs w:val="24"/>
                          </w:rPr>
                          <w:br/>
                        </w:r>
                        <w:r w:rsidRPr="00ED154B">
                          <w:rPr>
                            <w:rFonts w:ascii="Arial" w:eastAsia="Times New Roman" w:hAnsi="Arial" w:cs="Arial"/>
                            <w:color w:val="182958"/>
                            <w:sz w:val="24"/>
                            <w:szCs w:val="24"/>
                          </w:rPr>
                          <w:br/>
                          <w:t xml:space="preserve">Dr. </w:t>
                        </w:r>
                        <w:proofErr w:type="spellStart"/>
                        <w:r w:rsidRPr="00ED154B">
                          <w:rPr>
                            <w:rFonts w:ascii="Arial" w:eastAsia="Times New Roman" w:hAnsi="Arial" w:cs="Arial"/>
                            <w:color w:val="182958"/>
                            <w:sz w:val="24"/>
                            <w:szCs w:val="24"/>
                          </w:rPr>
                          <w:t>Belew’s</w:t>
                        </w:r>
                        <w:proofErr w:type="spellEnd"/>
                        <w:r w:rsidRPr="00ED154B">
                          <w:rPr>
                            <w:rFonts w:ascii="Arial" w:eastAsia="Times New Roman" w:hAnsi="Arial" w:cs="Arial"/>
                            <w:color w:val="182958"/>
                            <w:sz w:val="24"/>
                            <w:szCs w:val="24"/>
                          </w:rPr>
                          <w:t xml:space="preserve"> presentation will be followed by a Q&amp;A session moderated by Jeffrey Q. McCune, Jr., PhD, Director, Frederick Douglass Institute &amp; Department of Black Studies and Associate Professor of </w:t>
                        </w:r>
                        <w:proofErr w:type="gramStart"/>
                        <w:r w:rsidRPr="00ED154B">
                          <w:rPr>
                            <w:rFonts w:ascii="Arial" w:eastAsia="Times New Roman" w:hAnsi="Arial" w:cs="Arial"/>
                            <w:color w:val="182958"/>
                            <w:sz w:val="24"/>
                            <w:szCs w:val="24"/>
                          </w:rPr>
                          <w:t>African-American</w:t>
                        </w:r>
                        <w:proofErr w:type="gramEnd"/>
                        <w:r w:rsidRPr="00ED154B">
                          <w:rPr>
                            <w:rFonts w:ascii="Arial" w:eastAsia="Times New Roman" w:hAnsi="Arial" w:cs="Arial"/>
                            <w:color w:val="182958"/>
                            <w:sz w:val="24"/>
                            <w:szCs w:val="24"/>
                          </w:rPr>
                          <w:t xml:space="preserve"> Literature and Culture, Department of English.</w:t>
                        </w:r>
                      </w:p>
                    </w:tc>
                  </w:tr>
                </w:tbl>
                <w:p w14:paraId="5497C80C" w14:textId="77777777" w:rsidR="00ED154B" w:rsidRPr="00ED154B" w:rsidRDefault="00ED154B" w:rsidP="00ED154B">
                  <w:pPr>
                    <w:spacing w:after="0" w:line="240" w:lineRule="auto"/>
                    <w:rPr>
                      <w:rFonts w:ascii="Arial" w:eastAsia="Times New Roman" w:hAnsi="Arial" w:cs="Arial"/>
                      <w:sz w:val="18"/>
                      <w:szCs w:val="18"/>
                    </w:rPr>
                  </w:pPr>
                </w:p>
              </w:tc>
            </w:tr>
          </w:tbl>
          <w:p w14:paraId="51BB9FB6" w14:textId="77777777" w:rsidR="00ED154B" w:rsidRPr="00ED154B" w:rsidRDefault="00ED154B" w:rsidP="00ED15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5C5FB60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3F456059" w14:textId="77777777">
                    <w:trPr>
                      <w:tblCellSpacing w:w="0" w:type="dxa"/>
                    </w:trPr>
                    <w:tc>
                      <w:tcPr>
                        <w:tcW w:w="0" w:type="auto"/>
                        <w:tcMar>
                          <w:top w:w="75" w:type="dxa"/>
                          <w:left w:w="225" w:type="dxa"/>
                          <w:bottom w:w="0" w:type="dxa"/>
                          <w:right w:w="225" w:type="dxa"/>
                        </w:tcMar>
                        <w:hideMark/>
                      </w:tcPr>
                      <w:p w14:paraId="25EAE44F" w14:textId="77777777" w:rsidR="00ED154B" w:rsidRPr="00ED154B" w:rsidRDefault="00ED154B" w:rsidP="00ED154B">
                        <w:pPr>
                          <w:spacing w:after="150" w:line="240" w:lineRule="auto"/>
                          <w:jc w:val="center"/>
                          <w:rPr>
                            <w:rFonts w:ascii="Arial" w:eastAsia="Times New Roman" w:hAnsi="Arial" w:cs="Arial"/>
                            <w:color w:val="00467F"/>
                            <w:sz w:val="24"/>
                            <w:szCs w:val="24"/>
                          </w:rPr>
                        </w:pPr>
                        <w:r w:rsidRPr="00ED154B">
                          <w:rPr>
                            <w:rFonts w:ascii="Arial" w:eastAsia="Times New Roman" w:hAnsi="Arial" w:cs="Arial"/>
                            <w:i/>
                            <w:iCs/>
                            <w:color w:val="182958"/>
                            <w:sz w:val="24"/>
                            <w:szCs w:val="24"/>
                          </w:rPr>
                          <w:t>We kindly ask that you register in advance. A link to join the program will be included in your confirmation email.</w:t>
                        </w:r>
                      </w:p>
                    </w:tc>
                  </w:tr>
                </w:tbl>
                <w:p w14:paraId="638E1244" w14:textId="77777777" w:rsidR="00ED154B" w:rsidRPr="00ED154B" w:rsidRDefault="00ED154B" w:rsidP="00ED154B">
                  <w:pPr>
                    <w:spacing w:after="0" w:line="240" w:lineRule="auto"/>
                    <w:rPr>
                      <w:rFonts w:ascii="Arial" w:eastAsia="Times New Roman" w:hAnsi="Arial" w:cs="Arial"/>
                      <w:sz w:val="18"/>
                      <w:szCs w:val="18"/>
                    </w:rPr>
                  </w:pPr>
                </w:p>
              </w:tc>
            </w:tr>
          </w:tbl>
          <w:p w14:paraId="5ED7505C" w14:textId="77777777" w:rsidR="00ED154B" w:rsidRPr="00ED154B" w:rsidRDefault="00ED154B" w:rsidP="00ED15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0580124F" w14:textId="77777777">
              <w:trPr>
                <w:tblCellSpacing w:w="0" w:type="dxa"/>
              </w:trPr>
              <w:tc>
                <w:tcPr>
                  <w:tcW w:w="0" w:type="auto"/>
                  <w:tcMar>
                    <w:top w:w="0" w:type="dxa"/>
                    <w:left w:w="75" w:type="dxa"/>
                    <w:bottom w:w="75" w:type="dxa"/>
                    <w:right w:w="75" w:type="dxa"/>
                  </w:tcMar>
                  <w:hideMark/>
                </w:tcPr>
                <w:tbl>
                  <w:tblPr>
                    <w:tblW w:w="5000" w:type="pct"/>
                    <w:tblCellSpacing w:w="0" w:type="dxa"/>
                    <w:tblCellMar>
                      <w:top w:w="75" w:type="dxa"/>
                      <w:left w:w="300" w:type="dxa"/>
                      <w:right w:w="300" w:type="dxa"/>
                    </w:tblCellMar>
                    <w:tblLook w:val="04A0" w:firstRow="1" w:lastRow="0" w:firstColumn="1" w:lastColumn="0" w:noHBand="0" w:noVBand="1"/>
                  </w:tblPr>
                  <w:tblGrid>
                    <w:gridCol w:w="9210"/>
                  </w:tblGrid>
                  <w:tr w:rsidR="00ED154B" w:rsidRPr="00ED154B" w14:paraId="3EF760DE" w14:textId="77777777">
                    <w:trPr>
                      <w:tblCellSpacing w:w="0" w:type="dxa"/>
                    </w:trPr>
                    <w:tc>
                      <w:tcPr>
                        <w:tcW w:w="0" w:type="auto"/>
                        <w:shd w:val="clear" w:color="auto" w:fill="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07"/>
                        </w:tblGrid>
                        <w:tr w:rsidR="00ED154B" w:rsidRPr="00ED154B" w14:paraId="04E8C4F5" w14:textId="77777777">
                          <w:trPr>
                            <w:tblCellSpacing w:w="15" w:type="dxa"/>
                            <w:jc w:val="center"/>
                          </w:trPr>
                          <w:tc>
                            <w:tcPr>
                              <w:tcW w:w="0" w:type="auto"/>
                              <w:shd w:val="clear" w:color="auto" w:fill="00B2E2"/>
                              <w:vAlign w:val="center"/>
                              <w:hideMark/>
                            </w:tcPr>
                            <w:p w14:paraId="0532B224" w14:textId="77777777" w:rsidR="00ED154B" w:rsidRPr="00ED154B" w:rsidRDefault="00ED154B" w:rsidP="00ED154B">
                              <w:pPr>
                                <w:spacing w:after="0" w:line="240" w:lineRule="auto"/>
                                <w:rPr>
                                  <w:rFonts w:ascii="Arial" w:eastAsia="Times New Roman" w:hAnsi="Arial" w:cs="Arial"/>
                                  <w:sz w:val="18"/>
                                  <w:szCs w:val="18"/>
                                </w:rPr>
                              </w:pPr>
                              <w:hyperlink r:id="rId13" w:tgtFrame="_blank" w:history="1">
                                <w:r w:rsidRPr="00ED154B">
                                  <w:rPr>
                                    <w:rFonts w:ascii="Arial" w:eastAsia="Times New Roman" w:hAnsi="Arial" w:cs="Arial"/>
                                    <w:b/>
                                    <w:bCs/>
                                    <w:color w:val="FFFFFF"/>
                                    <w:sz w:val="24"/>
                                    <w:szCs w:val="24"/>
                                    <w:u w:val="single"/>
                                    <w:bdr w:val="single" w:sz="6" w:space="9" w:color="00B2E2" w:frame="1"/>
                                    <w:shd w:val="clear" w:color="auto" w:fill="00B2E2"/>
                                  </w:rPr>
                                  <w:t>REGISTER</w:t>
                                </w:r>
                              </w:hyperlink>
                            </w:p>
                          </w:tc>
                        </w:tr>
                      </w:tbl>
                      <w:p w14:paraId="70D88F1E" w14:textId="77777777" w:rsidR="00ED154B" w:rsidRPr="00ED154B" w:rsidRDefault="00ED154B" w:rsidP="00ED154B">
                        <w:pPr>
                          <w:spacing w:after="0" w:line="240" w:lineRule="auto"/>
                          <w:jc w:val="center"/>
                          <w:rPr>
                            <w:rFonts w:ascii="Arial" w:eastAsia="Times New Roman" w:hAnsi="Arial" w:cs="Arial"/>
                            <w:sz w:val="18"/>
                            <w:szCs w:val="18"/>
                          </w:rPr>
                        </w:pPr>
                      </w:p>
                    </w:tc>
                  </w:tr>
                </w:tbl>
                <w:p w14:paraId="334BFEF0" w14:textId="77777777" w:rsidR="00ED154B" w:rsidRPr="00ED154B" w:rsidRDefault="00ED154B" w:rsidP="00ED154B">
                  <w:pPr>
                    <w:spacing w:after="0" w:line="240" w:lineRule="auto"/>
                    <w:rPr>
                      <w:rFonts w:ascii="Arial" w:eastAsia="Times New Roman" w:hAnsi="Arial" w:cs="Arial"/>
                      <w:sz w:val="18"/>
                      <w:szCs w:val="18"/>
                    </w:rPr>
                  </w:pPr>
                </w:p>
              </w:tc>
            </w:tr>
          </w:tbl>
          <w:p w14:paraId="1D4B215D" w14:textId="77777777" w:rsidR="00ED154B" w:rsidRPr="00ED154B" w:rsidRDefault="00ED154B" w:rsidP="00ED15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2271F36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154B" w:rsidRPr="00ED154B" w14:paraId="02A869F7" w14:textId="77777777">
                    <w:trPr>
                      <w:tblCellSpacing w:w="0" w:type="dxa"/>
                    </w:trPr>
                    <w:tc>
                      <w:tcPr>
                        <w:tcW w:w="0" w:type="auto"/>
                        <w:shd w:val="clear" w:color="auto" w:fill="FFFFFF"/>
                        <w:tcMar>
                          <w:top w:w="150" w:type="dxa"/>
                          <w:left w:w="180" w:type="dxa"/>
                          <w:bottom w:w="300" w:type="dxa"/>
                          <w:right w:w="180" w:type="dxa"/>
                        </w:tcMar>
                        <w:hideMark/>
                      </w:tcPr>
                      <w:p w14:paraId="664BBD42" w14:textId="77777777" w:rsidR="00ED154B" w:rsidRPr="00ED154B" w:rsidRDefault="00ED154B" w:rsidP="00ED154B">
                        <w:pPr>
                          <w:spacing w:after="150" w:line="240" w:lineRule="auto"/>
                          <w:jc w:val="center"/>
                          <w:rPr>
                            <w:rFonts w:ascii="Arial" w:eastAsia="Times New Roman" w:hAnsi="Arial" w:cs="Arial"/>
                            <w:color w:val="00467F"/>
                            <w:sz w:val="24"/>
                            <w:szCs w:val="24"/>
                          </w:rPr>
                        </w:pPr>
                        <w:r w:rsidRPr="00ED154B">
                          <w:rPr>
                            <w:rFonts w:ascii="Arial" w:eastAsia="Times New Roman" w:hAnsi="Arial" w:cs="Arial"/>
                            <w:color w:val="182958"/>
                            <w:sz w:val="24"/>
                            <w:szCs w:val="24"/>
                          </w:rPr>
                          <w:t>This event is part of the University of Rochester monthly lecture and discussion series, </w:t>
                        </w:r>
                        <w:r w:rsidRPr="00ED154B">
                          <w:rPr>
                            <w:rFonts w:ascii="Arial" w:eastAsia="Times New Roman" w:hAnsi="Arial" w:cs="Arial"/>
                            <w:b/>
                            <w:bCs/>
                            <w:color w:val="182958"/>
                            <w:sz w:val="24"/>
                            <w:szCs w:val="24"/>
                          </w:rPr>
                          <w:t>REAL</w:t>
                        </w:r>
                        <w:r w:rsidRPr="00ED154B">
                          <w:rPr>
                            <w:rFonts w:ascii="Arial" w:eastAsia="Times New Roman" w:hAnsi="Arial" w:cs="Arial"/>
                            <w:color w:val="182958"/>
                            <w:sz w:val="24"/>
                            <w:szCs w:val="24"/>
                          </w:rPr>
                          <w:t>–</w:t>
                        </w:r>
                        <w:r w:rsidRPr="00ED154B">
                          <w:rPr>
                            <w:rFonts w:ascii="Arial" w:eastAsia="Times New Roman" w:hAnsi="Arial" w:cs="Arial"/>
                            <w:b/>
                            <w:bCs/>
                            <w:color w:val="182958"/>
                            <w:sz w:val="24"/>
                            <w:szCs w:val="24"/>
                          </w:rPr>
                          <w:t>R</w:t>
                        </w:r>
                        <w:r w:rsidRPr="00ED154B">
                          <w:rPr>
                            <w:rFonts w:ascii="Arial" w:eastAsia="Times New Roman" w:hAnsi="Arial" w:cs="Arial"/>
                            <w:color w:val="182958"/>
                            <w:sz w:val="24"/>
                            <w:szCs w:val="24"/>
                          </w:rPr>
                          <w:t>ochester's </w:t>
                        </w:r>
                        <w:r w:rsidRPr="00ED154B">
                          <w:rPr>
                            <w:rFonts w:ascii="Arial" w:eastAsia="Times New Roman" w:hAnsi="Arial" w:cs="Arial"/>
                            <w:b/>
                            <w:bCs/>
                            <w:color w:val="182958"/>
                            <w:sz w:val="24"/>
                            <w:szCs w:val="24"/>
                          </w:rPr>
                          <w:t>E</w:t>
                        </w:r>
                        <w:r w:rsidRPr="00ED154B">
                          <w:rPr>
                            <w:rFonts w:ascii="Arial" w:eastAsia="Times New Roman" w:hAnsi="Arial" w:cs="Arial"/>
                            <w:color w:val="182958"/>
                            <w:sz w:val="24"/>
                            <w:szCs w:val="24"/>
                          </w:rPr>
                          <w:t>quity &amp; </w:t>
                        </w:r>
                        <w:r w:rsidRPr="00ED154B">
                          <w:rPr>
                            <w:rFonts w:ascii="Arial" w:eastAsia="Times New Roman" w:hAnsi="Arial" w:cs="Arial"/>
                            <w:b/>
                            <w:bCs/>
                            <w:color w:val="182958"/>
                            <w:sz w:val="24"/>
                            <w:szCs w:val="24"/>
                          </w:rPr>
                          <w:t>A</w:t>
                        </w:r>
                        <w:r w:rsidRPr="00ED154B">
                          <w:rPr>
                            <w:rFonts w:ascii="Arial" w:eastAsia="Times New Roman" w:hAnsi="Arial" w:cs="Arial"/>
                            <w:color w:val="182958"/>
                            <w:sz w:val="24"/>
                            <w:szCs w:val="24"/>
                          </w:rPr>
                          <w:t>ccess </w:t>
                        </w:r>
                        <w:r w:rsidRPr="00ED154B">
                          <w:rPr>
                            <w:rFonts w:ascii="Arial" w:eastAsia="Times New Roman" w:hAnsi="Arial" w:cs="Arial"/>
                            <w:b/>
                            <w:bCs/>
                            <w:color w:val="182958"/>
                            <w:sz w:val="24"/>
                            <w:szCs w:val="24"/>
                          </w:rPr>
                          <w:t>L</w:t>
                        </w:r>
                        <w:r w:rsidRPr="00ED154B">
                          <w:rPr>
                            <w:rFonts w:ascii="Arial" w:eastAsia="Times New Roman" w:hAnsi="Arial" w:cs="Arial"/>
                            <w:color w:val="182958"/>
                            <w:sz w:val="24"/>
                            <w:szCs w:val="24"/>
                          </w:rPr>
                          <w:t>eadership–</w:t>
                        </w:r>
                        <w:r w:rsidRPr="00ED154B">
                          <w:rPr>
                            <w:rFonts w:ascii="Arial" w:eastAsia="Times New Roman" w:hAnsi="Arial" w:cs="Arial"/>
                            <w:b/>
                            <w:bCs/>
                            <w:color w:val="182958"/>
                            <w:sz w:val="24"/>
                            <w:szCs w:val="24"/>
                          </w:rPr>
                          <w:t>Conversations</w:t>
                        </w:r>
                        <w:r w:rsidRPr="00ED154B">
                          <w:rPr>
                            <w:rFonts w:ascii="Arial" w:eastAsia="Times New Roman" w:hAnsi="Arial" w:cs="Arial"/>
                            <w:color w:val="182958"/>
                            <w:sz w:val="24"/>
                            <w:szCs w:val="24"/>
                          </w:rPr>
                          <w:t>. These virtual programs focus on authentic discussions featuring brave and candid dialogues around equity, measurable action, and meaningful change. To view recordings of past events, </w:t>
                        </w:r>
                        <w:hyperlink r:id="rId14" w:tgtFrame="_blank" w:history="1">
                          <w:r w:rsidRPr="00ED154B">
                            <w:rPr>
                              <w:rFonts w:ascii="Arial" w:eastAsia="Times New Roman" w:hAnsi="Arial" w:cs="Arial"/>
                              <w:b/>
                              <w:bCs/>
                              <w:color w:val="00B2E2"/>
                              <w:sz w:val="24"/>
                              <w:szCs w:val="24"/>
                              <w:u w:val="single"/>
                            </w:rPr>
                            <w:t>explore the archive here</w:t>
                          </w:r>
                        </w:hyperlink>
                        <w:r w:rsidRPr="00ED154B">
                          <w:rPr>
                            <w:rFonts w:ascii="Arial" w:eastAsia="Times New Roman" w:hAnsi="Arial" w:cs="Arial"/>
                            <w:color w:val="182958"/>
                            <w:sz w:val="24"/>
                            <w:szCs w:val="24"/>
                          </w:rPr>
                          <w:t>.</w:t>
                        </w:r>
                      </w:p>
                    </w:tc>
                  </w:tr>
                </w:tbl>
                <w:p w14:paraId="11F5EC2B" w14:textId="77777777" w:rsidR="00ED154B" w:rsidRPr="00ED154B" w:rsidRDefault="00ED154B" w:rsidP="00ED154B">
                  <w:pPr>
                    <w:spacing w:after="0" w:line="240" w:lineRule="auto"/>
                    <w:rPr>
                      <w:rFonts w:ascii="Arial" w:eastAsia="Times New Roman" w:hAnsi="Arial" w:cs="Arial"/>
                      <w:sz w:val="18"/>
                      <w:szCs w:val="18"/>
                    </w:rPr>
                  </w:pPr>
                </w:p>
              </w:tc>
            </w:tr>
          </w:tbl>
          <w:p w14:paraId="0892C534" w14:textId="77777777" w:rsidR="00ED154B" w:rsidRPr="00ED154B" w:rsidRDefault="00ED154B" w:rsidP="00ED154B">
            <w:pPr>
              <w:spacing w:after="0" w:line="240" w:lineRule="auto"/>
              <w:rPr>
                <w:rFonts w:ascii="Arial" w:eastAsia="Times New Roman" w:hAnsi="Arial" w:cs="Arial"/>
                <w:sz w:val="18"/>
                <w:szCs w:val="18"/>
              </w:rPr>
            </w:pPr>
          </w:p>
        </w:tc>
      </w:tr>
    </w:tbl>
    <w:p w14:paraId="56039404"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4B"/>
    <w:rsid w:val="002D4C78"/>
    <w:rsid w:val="0034427C"/>
    <w:rsid w:val="00423573"/>
    <w:rsid w:val="00644730"/>
    <w:rsid w:val="00CD1BC8"/>
    <w:rsid w:val="00DC55FB"/>
    <w:rsid w:val="00ED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0D07"/>
  <w15:chartTrackingRefBased/>
  <w15:docId w15:val="{E6C96023-8741-4673-BED3-8823615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4003">
      <w:bodyDiv w:val="1"/>
      <w:marLeft w:val="0"/>
      <w:marRight w:val="0"/>
      <w:marTop w:val="0"/>
      <w:marBottom w:val="0"/>
      <w:divBdr>
        <w:top w:val="none" w:sz="0" w:space="0" w:color="auto"/>
        <w:left w:val="none" w:sz="0" w:space="0" w:color="auto"/>
        <w:bottom w:val="none" w:sz="0" w:space="0" w:color="auto"/>
        <w:right w:val="none" w:sz="0" w:space="0" w:color="auto"/>
      </w:divBdr>
      <w:divsChild>
        <w:div w:id="1968854966">
          <w:marLeft w:val="0"/>
          <w:marRight w:val="0"/>
          <w:marTop w:val="0"/>
          <w:marBottom w:val="0"/>
          <w:divBdr>
            <w:top w:val="none" w:sz="0" w:space="0" w:color="auto"/>
            <w:left w:val="none" w:sz="0" w:space="0" w:color="auto"/>
            <w:bottom w:val="none" w:sz="0" w:space="0" w:color="auto"/>
            <w:right w:val="none" w:sz="0" w:space="0" w:color="auto"/>
          </w:divBdr>
          <w:divsChild>
            <w:div w:id="1517722">
              <w:marLeft w:val="0"/>
              <w:marRight w:val="0"/>
              <w:marTop w:val="0"/>
              <w:marBottom w:val="0"/>
              <w:divBdr>
                <w:top w:val="none" w:sz="0" w:space="0" w:color="auto"/>
                <w:left w:val="none" w:sz="0" w:space="0" w:color="auto"/>
                <w:bottom w:val="none" w:sz="0" w:space="0" w:color="auto"/>
                <w:right w:val="none" w:sz="0" w:space="0" w:color="auto"/>
              </w:divBdr>
              <w:divsChild>
                <w:div w:id="1546529014">
                  <w:marLeft w:val="0"/>
                  <w:marRight w:val="0"/>
                  <w:marTop w:val="0"/>
                  <w:marBottom w:val="150"/>
                  <w:divBdr>
                    <w:top w:val="none" w:sz="0" w:space="0" w:color="auto"/>
                    <w:left w:val="none" w:sz="0" w:space="0" w:color="auto"/>
                    <w:bottom w:val="none" w:sz="0" w:space="0" w:color="auto"/>
                    <w:right w:val="none" w:sz="0" w:space="0" w:color="auto"/>
                  </w:divBdr>
                </w:div>
              </w:divsChild>
            </w:div>
            <w:div w:id="1054891123">
              <w:marLeft w:val="0"/>
              <w:marRight w:val="0"/>
              <w:marTop w:val="0"/>
              <w:marBottom w:val="0"/>
              <w:divBdr>
                <w:top w:val="none" w:sz="0" w:space="0" w:color="auto"/>
                <w:left w:val="none" w:sz="0" w:space="0" w:color="auto"/>
                <w:bottom w:val="none" w:sz="0" w:space="0" w:color="auto"/>
                <w:right w:val="none" w:sz="0" w:space="0" w:color="auto"/>
              </w:divBdr>
              <w:divsChild>
                <w:div w:id="2123305363">
                  <w:marLeft w:val="0"/>
                  <w:marRight w:val="0"/>
                  <w:marTop w:val="0"/>
                  <w:marBottom w:val="150"/>
                  <w:divBdr>
                    <w:top w:val="none" w:sz="0" w:space="0" w:color="auto"/>
                    <w:left w:val="none" w:sz="0" w:space="0" w:color="auto"/>
                    <w:bottom w:val="none" w:sz="0" w:space="0" w:color="auto"/>
                    <w:right w:val="none" w:sz="0" w:space="0" w:color="auto"/>
                  </w:divBdr>
                </w:div>
              </w:divsChild>
            </w:div>
            <w:div w:id="1562400079">
              <w:marLeft w:val="0"/>
              <w:marRight w:val="0"/>
              <w:marTop w:val="0"/>
              <w:marBottom w:val="0"/>
              <w:divBdr>
                <w:top w:val="none" w:sz="0" w:space="0" w:color="auto"/>
                <w:left w:val="none" w:sz="0" w:space="0" w:color="auto"/>
                <w:bottom w:val="none" w:sz="0" w:space="0" w:color="auto"/>
                <w:right w:val="none" w:sz="0" w:space="0" w:color="auto"/>
              </w:divBdr>
              <w:divsChild>
                <w:div w:id="1624269179">
                  <w:marLeft w:val="0"/>
                  <w:marRight w:val="0"/>
                  <w:marTop w:val="0"/>
                  <w:marBottom w:val="150"/>
                  <w:divBdr>
                    <w:top w:val="none" w:sz="0" w:space="0" w:color="auto"/>
                    <w:left w:val="none" w:sz="0" w:space="0" w:color="auto"/>
                    <w:bottom w:val="none" w:sz="0" w:space="0" w:color="auto"/>
                    <w:right w:val="none" w:sz="0" w:space="0" w:color="auto"/>
                  </w:divBdr>
                </w:div>
              </w:divsChild>
            </w:div>
            <w:div w:id="1244335078">
              <w:marLeft w:val="0"/>
              <w:marRight w:val="0"/>
              <w:marTop w:val="0"/>
              <w:marBottom w:val="0"/>
              <w:divBdr>
                <w:top w:val="none" w:sz="0" w:space="0" w:color="auto"/>
                <w:left w:val="none" w:sz="0" w:space="0" w:color="auto"/>
                <w:bottom w:val="none" w:sz="0" w:space="0" w:color="auto"/>
                <w:right w:val="none" w:sz="0" w:space="0" w:color="auto"/>
              </w:divBdr>
              <w:divsChild>
                <w:div w:id="1766730096">
                  <w:marLeft w:val="0"/>
                  <w:marRight w:val="0"/>
                  <w:marTop w:val="0"/>
                  <w:marBottom w:val="150"/>
                  <w:divBdr>
                    <w:top w:val="none" w:sz="0" w:space="0" w:color="auto"/>
                    <w:left w:val="none" w:sz="0" w:space="0" w:color="auto"/>
                    <w:bottom w:val="none" w:sz="0" w:space="0" w:color="auto"/>
                    <w:right w:val="none" w:sz="0" w:space="0" w:color="auto"/>
                  </w:divBdr>
                </w:div>
              </w:divsChild>
            </w:div>
            <w:div w:id="1220901974">
              <w:marLeft w:val="0"/>
              <w:marRight w:val="0"/>
              <w:marTop w:val="0"/>
              <w:marBottom w:val="0"/>
              <w:divBdr>
                <w:top w:val="none" w:sz="0" w:space="0" w:color="auto"/>
                <w:left w:val="none" w:sz="0" w:space="0" w:color="auto"/>
                <w:bottom w:val="none" w:sz="0" w:space="0" w:color="auto"/>
                <w:right w:val="none" w:sz="0" w:space="0" w:color="auto"/>
              </w:divBdr>
              <w:divsChild>
                <w:div w:id="1732845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cr5ogg/8jhy09/w6qbnv" TargetMode="External"/><Relationship Id="rId13" Type="http://schemas.openxmlformats.org/officeDocument/2006/relationships/hyperlink" Target="https://t.e2ma.net/click/cr5ogg/8jhy09/44ubnv" TargetMode="External"/><Relationship Id="rId3" Type="http://schemas.openxmlformats.org/officeDocument/2006/relationships/webSettings" Target="webSettings.xml"/><Relationship Id="rId7" Type="http://schemas.openxmlformats.org/officeDocument/2006/relationships/hyperlink" Target="https://t.e2ma.net/click/cr5ogg/8jhy09/geqbnv" TargetMode="External"/><Relationship Id="rId12" Type="http://schemas.openxmlformats.org/officeDocument/2006/relationships/hyperlink" Target="https://t.e2ma.net/click/cr5ogg/8jhy09/ocubn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e2ma.net/click/cr5ogg/8jhy09/8jtbn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e2ma.net/click/cr5ogg/8jhy09/srsbnv" TargetMode="External"/><Relationship Id="rId4" Type="http://schemas.openxmlformats.org/officeDocument/2006/relationships/hyperlink" Target="https://t.e2ma.net/click/cr5ogg/8jhy09/0lpbnv" TargetMode="External"/><Relationship Id="rId9" Type="http://schemas.openxmlformats.org/officeDocument/2006/relationships/hyperlink" Target="https://t.e2ma.net/click/cr5ogg/8jhy09/czrbnv" TargetMode="External"/><Relationship Id="rId14" Type="http://schemas.openxmlformats.org/officeDocument/2006/relationships/hyperlink" Target="https://t.e2ma.net/click/cr5ogg/8jhy09/kxvb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2022-11-20T16:48:00Z</dcterms:created>
  <dcterms:modified xsi:type="dcterms:W3CDTF">2022-11-20T16:50:00Z</dcterms:modified>
</cp:coreProperties>
</file>